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9105B9">
      <w:pPr>
        <w:rPr>
          <w:rFonts w:hint="eastAsia" w:ascii="宋体" w:hAnsi="宋体" w:eastAsia="宋体" w:cs="宋体"/>
          <w:color w:val="auto"/>
          <w:highlight w:val="none"/>
        </w:rPr>
      </w:pPr>
      <w:bookmarkStart w:id="332" w:name="_GoBack"/>
    </w:p>
    <w:p w14:paraId="45057C3C">
      <w:pPr>
        <w:rPr>
          <w:rFonts w:hint="eastAsia" w:ascii="宋体" w:hAnsi="宋体" w:eastAsia="宋体" w:cs="宋体"/>
          <w:color w:val="auto"/>
          <w:highlight w:val="none"/>
        </w:rPr>
      </w:pPr>
    </w:p>
    <w:p w14:paraId="09CDD57F">
      <w:pPr>
        <w:rPr>
          <w:rFonts w:hint="eastAsia" w:ascii="宋体" w:hAnsi="宋体" w:eastAsia="宋体" w:cs="宋体"/>
          <w:b/>
          <w:color w:val="auto"/>
          <w:sz w:val="96"/>
          <w:szCs w:val="96"/>
          <w:highlight w:val="none"/>
        </w:rPr>
      </w:pPr>
    </w:p>
    <w:p w14:paraId="3E8BE85D">
      <w:pPr>
        <w:jc w:val="center"/>
        <w:rPr>
          <w:rFonts w:hint="eastAsia" w:ascii="宋体" w:hAnsi="宋体" w:eastAsia="宋体" w:cs="宋体"/>
          <w:b/>
          <w:color w:val="auto"/>
          <w:sz w:val="96"/>
          <w:szCs w:val="96"/>
          <w:highlight w:val="none"/>
        </w:rPr>
      </w:pPr>
      <w:r>
        <w:rPr>
          <w:rFonts w:hint="eastAsia" w:ascii="宋体" w:hAnsi="宋体" w:eastAsia="宋体" w:cs="宋体"/>
          <w:b/>
          <w:color w:val="auto"/>
          <w:sz w:val="96"/>
          <w:szCs w:val="96"/>
          <w:highlight w:val="none"/>
        </w:rPr>
        <w:t>招 标 文 件</w:t>
      </w:r>
    </w:p>
    <w:p w14:paraId="3CF72D43">
      <w:pPr>
        <w:rPr>
          <w:rFonts w:hint="eastAsia" w:ascii="宋体" w:hAnsi="宋体" w:eastAsia="宋体" w:cs="宋体"/>
          <w:color w:val="auto"/>
          <w:highlight w:val="none"/>
        </w:rPr>
      </w:pPr>
    </w:p>
    <w:p w14:paraId="501038BE">
      <w:pPr>
        <w:rPr>
          <w:rFonts w:hint="eastAsia" w:ascii="宋体" w:hAnsi="宋体" w:eastAsia="宋体" w:cs="宋体"/>
          <w:color w:val="auto"/>
          <w:highlight w:val="none"/>
        </w:rPr>
      </w:pPr>
    </w:p>
    <w:p w14:paraId="7D34899B">
      <w:pPr>
        <w:rPr>
          <w:rFonts w:hint="eastAsia" w:ascii="宋体" w:hAnsi="宋体" w:eastAsia="宋体" w:cs="宋体"/>
          <w:color w:val="auto"/>
          <w:highlight w:val="none"/>
        </w:rPr>
      </w:pPr>
    </w:p>
    <w:p w14:paraId="3E9A6C22">
      <w:pPr>
        <w:rPr>
          <w:rFonts w:hint="eastAsia" w:ascii="宋体" w:hAnsi="宋体" w:eastAsia="宋体" w:cs="宋体"/>
          <w:b/>
          <w:color w:val="auto"/>
          <w:sz w:val="44"/>
          <w:szCs w:val="44"/>
          <w:highlight w:val="none"/>
        </w:rPr>
      </w:pPr>
    </w:p>
    <w:p w14:paraId="5ABE2319">
      <w:pPr>
        <w:ind w:left="-38" w:leftChars="-18" w:firstLine="36" w:firstLineChars="9"/>
        <w:jc w:val="left"/>
        <w:rPr>
          <w:rFonts w:hint="eastAsia" w:ascii="宋体" w:hAnsi="宋体" w:eastAsia="宋体" w:cs="宋体"/>
          <w:b/>
          <w:color w:val="auto"/>
          <w:sz w:val="40"/>
          <w:szCs w:val="40"/>
          <w:highlight w:val="none"/>
          <w:lang w:eastAsia="zh-CN"/>
        </w:rPr>
      </w:pPr>
      <w:r>
        <w:rPr>
          <w:rFonts w:hint="eastAsia" w:ascii="宋体" w:hAnsi="宋体" w:eastAsia="宋体" w:cs="宋体"/>
          <w:b/>
          <w:color w:val="auto"/>
          <w:sz w:val="40"/>
          <w:szCs w:val="40"/>
          <w:highlight w:val="none"/>
        </w:rPr>
        <w:t>项目编号：</w:t>
      </w:r>
      <w:r>
        <w:rPr>
          <w:rFonts w:hint="eastAsia" w:ascii="宋体" w:hAnsi="宋体" w:cs="宋体"/>
          <w:b/>
          <w:color w:val="auto"/>
          <w:sz w:val="40"/>
          <w:szCs w:val="40"/>
          <w:highlight w:val="none"/>
          <w:lang w:eastAsia="zh-CN"/>
        </w:rPr>
        <w:t>JSZC-320581-HXGW-G2025-0077</w:t>
      </w:r>
    </w:p>
    <w:p w14:paraId="1748DD41">
      <w:pPr>
        <w:autoSpaceDE w:val="0"/>
        <w:autoSpaceDN w:val="0"/>
        <w:adjustRightInd w:val="0"/>
        <w:spacing w:line="360" w:lineRule="auto"/>
        <w:ind w:left="-38" w:leftChars="-18" w:firstLine="36" w:firstLineChars="9"/>
        <w:jc w:val="left"/>
        <w:rPr>
          <w:rFonts w:hint="eastAsia" w:ascii="宋体" w:hAnsi="宋体" w:eastAsia="宋体" w:cs="宋体"/>
          <w:b/>
          <w:color w:val="auto"/>
          <w:sz w:val="40"/>
          <w:szCs w:val="40"/>
          <w:highlight w:val="none"/>
          <w:lang w:eastAsia="zh-CN"/>
        </w:rPr>
      </w:pPr>
      <w:r>
        <w:rPr>
          <w:rFonts w:hint="eastAsia" w:ascii="宋体" w:hAnsi="宋体" w:eastAsia="宋体" w:cs="宋体"/>
          <w:b/>
          <w:color w:val="auto"/>
          <w:sz w:val="40"/>
          <w:szCs w:val="40"/>
          <w:highlight w:val="none"/>
        </w:rPr>
        <w:t>项目名称：</w:t>
      </w:r>
      <w:r>
        <w:rPr>
          <w:rFonts w:hint="eastAsia" w:ascii="宋体" w:hAnsi="宋体" w:eastAsia="宋体" w:cs="宋体"/>
          <w:b/>
          <w:color w:val="auto"/>
          <w:sz w:val="40"/>
          <w:szCs w:val="40"/>
          <w:highlight w:val="none"/>
          <w:lang w:eastAsia="zh-CN"/>
        </w:rPr>
        <w:t>2026年古里镇雨污水管网养护及零星维修项目</w:t>
      </w:r>
    </w:p>
    <w:p w14:paraId="1B785FD6">
      <w:pPr>
        <w:autoSpaceDE w:val="0"/>
        <w:autoSpaceDN w:val="0"/>
        <w:adjustRightInd w:val="0"/>
        <w:spacing w:line="360" w:lineRule="auto"/>
        <w:ind w:left="-38" w:leftChars="-18" w:firstLine="36" w:firstLineChars="9"/>
        <w:jc w:val="left"/>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t>项目属性：服务类项目</w:t>
      </w:r>
    </w:p>
    <w:p w14:paraId="24489664">
      <w:pPr>
        <w:autoSpaceDE w:val="0"/>
        <w:autoSpaceDN w:val="0"/>
        <w:adjustRightInd w:val="0"/>
        <w:spacing w:line="360" w:lineRule="auto"/>
        <w:ind w:left="-38" w:leftChars="-18" w:firstLine="36" w:firstLineChars="9"/>
        <w:jc w:val="left"/>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t>标的所属行业：其他未列明行业</w:t>
      </w:r>
    </w:p>
    <w:p w14:paraId="6653A386">
      <w:pPr>
        <w:autoSpaceDE w:val="0"/>
        <w:autoSpaceDN w:val="0"/>
        <w:adjustRightInd w:val="0"/>
        <w:spacing w:line="360" w:lineRule="auto"/>
        <w:ind w:leftChars="-95" w:hanging="199" w:hangingChars="45"/>
        <w:jc w:val="left"/>
        <w:rPr>
          <w:rFonts w:hint="eastAsia" w:ascii="宋体" w:hAnsi="宋体" w:eastAsia="宋体" w:cs="宋体"/>
          <w:b/>
          <w:color w:val="auto"/>
          <w:sz w:val="44"/>
          <w:szCs w:val="44"/>
          <w:highlight w:val="none"/>
        </w:rPr>
      </w:pPr>
    </w:p>
    <w:p w14:paraId="39FDE10D">
      <w:pPr>
        <w:autoSpaceDE w:val="0"/>
        <w:autoSpaceDN w:val="0"/>
        <w:adjustRightInd w:val="0"/>
        <w:spacing w:line="360" w:lineRule="auto"/>
        <w:jc w:val="center"/>
        <w:rPr>
          <w:rFonts w:hint="eastAsia" w:ascii="宋体" w:hAnsi="宋体" w:eastAsia="宋体" w:cs="宋体"/>
          <w:b/>
          <w:color w:val="auto"/>
          <w:sz w:val="44"/>
          <w:szCs w:val="44"/>
          <w:highlight w:val="none"/>
          <w:u w:val="single"/>
        </w:rPr>
      </w:pPr>
    </w:p>
    <w:p w14:paraId="0F1FCAF9">
      <w:pPr>
        <w:jc w:val="center"/>
        <w:rPr>
          <w:rFonts w:hint="eastAsia" w:ascii="宋体" w:hAnsi="宋体" w:eastAsia="宋体" w:cs="宋体"/>
          <w:b/>
          <w:color w:val="auto"/>
          <w:sz w:val="44"/>
          <w:szCs w:val="44"/>
          <w:highlight w:val="none"/>
        </w:rPr>
      </w:pPr>
    </w:p>
    <w:p w14:paraId="4F992EBB">
      <w:pPr>
        <w:rPr>
          <w:rFonts w:hint="eastAsia" w:ascii="宋体" w:hAnsi="宋体" w:eastAsia="宋体" w:cs="宋体"/>
          <w:b/>
          <w:color w:val="auto"/>
          <w:sz w:val="44"/>
          <w:szCs w:val="44"/>
          <w:highlight w:val="none"/>
        </w:rPr>
      </w:pPr>
    </w:p>
    <w:p w14:paraId="6063E584">
      <w:pPr>
        <w:rPr>
          <w:rFonts w:hint="eastAsia" w:ascii="宋体" w:hAnsi="宋体" w:eastAsia="宋体" w:cs="宋体"/>
          <w:b/>
          <w:color w:val="auto"/>
          <w:sz w:val="44"/>
          <w:szCs w:val="44"/>
          <w:highlight w:val="none"/>
        </w:rPr>
      </w:pPr>
    </w:p>
    <w:p w14:paraId="732A073A">
      <w:pPr>
        <w:rPr>
          <w:rFonts w:hint="eastAsia" w:ascii="宋体" w:hAnsi="宋体" w:eastAsia="宋体" w:cs="宋体"/>
          <w:b/>
          <w:color w:val="auto"/>
          <w:sz w:val="44"/>
          <w:szCs w:val="44"/>
          <w:highlight w:val="none"/>
        </w:rPr>
      </w:pPr>
    </w:p>
    <w:p w14:paraId="68E99855">
      <w:pPr>
        <w:spacing w:line="360" w:lineRule="auto"/>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涵熙（苏州）工程顾问有限公司</w:t>
      </w:r>
    </w:p>
    <w:p w14:paraId="7BA44BF9">
      <w:pPr>
        <w:jc w:val="center"/>
        <w:rPr>
          <w:rFonts w:hint="eastAsia" w:ascii="宋体" w:hAnsi="宋体" w:eastAsia="宋体" w:cs="宋体"/>
          <w:b/>
          <w:color w:val="auto"/>
          <w:sz w:val="44"/>
          <w:szCs w:val="44"/>
          <w:highlight w:val="none"/>
        </w:rPr>
        <w:sectPr>
          <w:headerReference r:id="rId5" w:type="first"/>
          <w:headerReference r:id="rId3" w:type="default"/>
          <w:footerReference r:id="rId6" w:type="default"/>
          <w:headerReference r:id="rId4" w:type="even"/>
          <w:footerReference r:id="rId7" w:type="even"/>
          <w:pgSz w:w="11907" w:h="16840"/>
          <w:pgMar w:top="1134" w:right="242" w:bottom="1418" w:left="1365" w:header="567" w:footer="794" w:gutter="0"/>
          <w:pgNumType w:start="0"/>
          <w:cols w:space="720" w:num="1"/>
          <w:titlePg/>
          <w:docGrid w:type="lines" w:linePitch="305" w:charSpace="0"/>
        </w:sectPr>
      </w:pPr>
      <w:r>
        <w:rPr>
          <w:rFonts w:hint="eastAsia" w:ascii="宋体" w:hAnsi="宋体" w:eastAsia="宋体" w:cs="宋体"/>
          <w:b/>
          <w:color w:val="auto"/>
          <w:sz w:val="44"/>
          <w:szCs w:val="44"/>
          <w:highlight w:val="none"/>
        </w:rPr>
        <w:t>2025年</w:t>
      </w:r>
      <w:r>
        <w:rPr>
          <w:rFonts w:hint="eastAsia" w:ascii="宋体" w:hAnsi="宋体" w:cs="宋体"/>
          <w:b/>
          <w:color w:val="auto"/>
          <w:sz w:val="44"/>
          <w:szCs w:val="44"/>
          <w:highlight w:val="none"/>
          <w:lang w:val="en-US" w:eastAsia="zh-CN"/>
        </w:rPr>
        <w:t>12</w:t>
      </w:r>
      <w:r>
        <w:rPr>
          <w:rFonts w:hint="eastAsia" w:ascii="宋体" w:hAnsi="宋体" w:eastAsia="宋体" w:cs="宋体"/>
          <w:b/>
          <w:color w:val="auto"/>
          <w:sz w:val="44"/>
          <w:szCs w:val="44"/>
          <w:highlight w:val="none"/>
        </w:rPr>
        <w:t>月</w:t>
      </w:r>
      <w:r>
        <w:rPr>
          <w:rFonts w:hint="eastAsia" w:ascii="宋体" w:hAnsi="宋体" w:cs="宋体"/>
          <w:b/>
          <w:color w:val="auto"/>
          <w:sz w:val="44"/>
          <w:szCs w:val="44"/>
          <w:highlight w:val="none"/>
          <w:lang w:val="en-US" w:eastAsia="zh-CN"/>
        </w:rPr>
        <w:t>16</w:t>
      </w:r>
      <w:r>
        <w:rPr>
          <w:rFonts w:hint="eastAsia" w:ascii="宋体" w:hAnsi="宋体" w:eastAsia="宋体" w:cs="宋体"/>
          <w:b/>
          <w:color w:val="auto"/>
          <w:sz w:val="44"/>
          <w:szCs w:val="44"/>
          <w:highlight w:val="none"/>
        </w:rPr>
        <w:t>日</w:t>
      </w:r>
    </w:p>
    <w:p w14:paraId="14F68B3B">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目录</w:t>
      </w:r>
      <w:bookmarkStart w:id="0" w:name="_Toc158691765"/>
    </w:p>
    <w:p w14:paraId="5B0898C1">
      <w:pPr>
        <w:pStyle w:val="37"/>
        <w:tabs>
          <w:tab w:val="right" w:leader="dot" w:pos="9660"/>
          <w:tab w:val="clear" w:pos="9450"/>
        </w:tabs>
        <w:rPr>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TOC \o "1-3" \h \z \u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highlight w:val="none"/>
        </w:rPr>
        <w:instrText xml:space="preserve"> HYPERLINK \l _Toc12021 </w:instrText>
      </w:r>
      <w:r>
        <w:rPr>
          <w:rFonts w:hint="eastAsia" w:ascii="宋体" w:hAnsi="宋体" w:eastAsia="宋体" w:cs="宋体"/>
          <w:highlight w:val="none"/>
        </w:rPr>
        <w:fldChar w:fldCharType="separate"/>
      </w:r>
      <w:r>
        <w:rPr>
          <w:rFonts w:hint="eastAsia" w:ascii="宋体" w:hAnsi="宋体" w:eastAsia="宋体" w:cs="宋体"/>
          <w:highlight w:val="none"/>
        </w:rPr>
        <w:t>第一章 投标邀请</w:t>
      </w:r>
      <w:r>
        <w:rPr>
          <w:highlight w:val="none"/>
        </w:rPr>
        <w:tab/>
      </w:r>
      <w:r>
        <w:rPr>
          <w:highlight w:val="none"/>
        </w:rPr>
        <w:fldChar w:fldCharType="begin"/>
      </w:r>
      <w:r>
        <w:rPr>
          <w:highlight w:val="none"/>
        </w:rPr>
        <w:instrText xml:space="preserve"> PAGEREF _Toc12021 \h </w:instrText>
      </w:r>
      <w:r>
        <w:rPr>
          <w:highlight w:val="none"/>
        </w:rPr>
        <w:fldChar w:fldCharType="separate"/>
      </w:r>
      <w:r>
        <w:rPr>
          <w:highlight w:val="none"/>
        </w:rPr>
        <w:t>1</w:t>
      </w:r>
      <w:r>
        <w:rPr>
          <w:highlight w:val="none"/>
        </w:rPr>
        <w:fldChar w:fldCharType="end"/>
      </w:r>
      <w:r>
        <w:rPr>
          <w:rFonts w:hint="eastAsia" w:ascii="宋体" w:hAnsi="宋体" w:eastAsia="宋体" w:cs="宋体"/>
          <w:color w:val="auto"/>
          <w:highlight w:val="none"/>
        </w:rPr>
        <w:fldChar w:fldCharType="end"/>
      </w:r>
    </w:p>
    <w:p w14:paraId="4DC222A5">
      <w:pPr>
        <w:pStyle w:val="37"/>
        <w:tabs>
          <w:tab w:val="right" w:leader="dot" w:pos="9660"/>
          <w:tab w:val="clear" w:pos="9450"/>
        </w:tabs>
        <w:rPr>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_Toc16790 </w:instrText>
      </w:r>
      <w:r>
        <w:rPr>
          <w:rFonts w:hint="eastAsia" w:ascii="宋体" w:hAnsi="宋体" w:eastAsia="宋体" w:cs="宋体"/>
          <w:szCs w:val="36"/>
          <w:highlight w:val="none"/>
        </w:rPr>
        <w:fldChar w:fldCharType="separate"/>
      </w:r>
      <w:r>
        <w:rPr>
          <w:rFonts w:hint="eastAsia" w:ascii="宋体" w:hAnsi="宋体" w:eastAsia="宋体" w:cs="宋体"/>
          <w:highlight w:val="none"/>
        </w:rPr>
        <w:t>第二章 投标人须知</w:t>
      </w:r>
      <w:r>
        <w:rPr>
          <w:highlight w:val="none"/>
        </w:rPr>
        <w:tab/>
      </w:r>
      <w:r>
        <w:rPr>
          <w:highlight w:val="none"/>
        </w:rPr>
        <w:fldChar w:fldCharType="begin"/>
      </w:r>
      <w:r>
        <w:rPr>
          <w:highlight w:val="none"/>
        </w:rPr>
        <w:instrText xml:space="preserve"> PAGEREF _Toc16790 \h </w:instrText>
      </w:r>
      <w:r>
        <w:rPr>
          <w:highlight w:val="none"/>
        </w:rPr>
        <w:fldChar w:fldCharType="separate"/>
      </w:r>
      <w:r>
        <w:rPr>
          <w:highlight w:val="none"/>
        </w:rPr>
        <w:t>4</w:t>
      </w:r>
      <w:r>
        <w:rPr>
          <w:highlight w:val="none"/>
        </w:rPr>
        <w:fldChar w:fldCharType="end"/>
      </w:r>
      <w:r>
        <w:rPr>
          <w:rFonts w:hint="eastAsia" w:ascii="宋体" w:hAnsi="宋体" w:eastAsia="宋体" w:cs="宋体"/>
          <w:color w:val="auto"/>
          <w:szCs w:val="36"/>
          <w:highlight w:val="none"/>
        </w:rPr>
        <w:fldChar w:fldCharType="end"/>
      </w:r>
    </w:p>
    <w:p w14:paraId="65C79240">
      <w:pPr>
        <w:pStyle w:val="27"/>
        <w:tabs>
          <w:tab w:val="right" w:leader="dot" w:pos="9660"/>
        </w:tabs>
        <w:rPr>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_Toc6663 </w:instrText>
      </w:r>
      <w:r>
        <w:rPr>
          <w:rFonts w:hint="eastAsia" w:ascii="宋体" w:hAnsi="宋体" w:eastAsia="宋体" w:cs="宋体"/>
          <w:szCs w:val="36"/>
          <w:highlight w:val="none"/>
        </w:rPr>
        <w:fldChar w:fldCharType="separate"/>
      </w:r>
      <w:r>
        <w:rPr>
          <w:rFonts w:hint="eastAsia" w:ascii="宋体" w:hAnsi="宋体" w:eastAsia="宋体" w:cs="宋体"/>
          <w:bCs/>
          <w:szCs w:val="32"/>
          <w:highlight w:val="none"/>
        </w:rPr>
        <w:t>一、总则</w:t>
      </w:r>
      <w:r>
        <w:rPr>
          <w:highlight w:val="none"/>
        </w:rPr>
        <w:tab/>
      </w:r>
      <w:r>
        <w:rPr>
          <w:highlight w:val="none"/>
        </w:rPr>
        <w:fldChar w:fldCharType="begin"/>
      </w:r>
      <w:r>
        <w:rPr>
          <w:highlight w:val="none"/>
        </w:rPr>
        <w:instrText xml:space="preserve"> PAGEREF _Toc6663 \h </w:instrText>
      </w:r>
      <w:r>
        <w:rPr>
          <w:highlight w:val="none"/>
        </w:rPr>
        <w:fldChar w:fldCharType="separate"/>
      </w:r>
      <w:r>
        <w:rPr>
          <w:highlight w:val="none"/>
        </w:rPr>
        <w:t>4</w:t>
      </w:r>
      <w:r>
        <w:rPr>
          <w:highlight w:val="none"/>
        </w:rPr>
        <w:fldChar w:fldCharType="end"/>
      </w:r>
      <w:r>
        <w:rPr>
          <w:rFonts w:hint="eastAsia" w:ascii="宋体" w:hAnsi="宋体" w:eastAsia="宋体" w:cs="宋体"/>
          <w:color w:val="auto"/>
          <w:szCs w:val="36"/>
          <w:highlight w:val="none"/>
        </w:rPr>
        <w:fldChar w:fldCharType="end"/>
      </w:r>
    </w:p>
    <w:p w14:paraId="0167F174">
      <w:pPr>
        <w:pStyle w:val="27"/>
        <w:tabs>
          <w:tab w:val="right" w:leader="dot" w:pos="9660"/>
        </w:tabs>
        <w:rPr>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_Toc7528 </w:instrText>
      </w:r>
      <w:r>
        <w:rPr>
          <w:rFonts w:hint="eastAsia" w:ascii="宋体" w:hAnsi="宋体" w:eastAsia="宋体" w:cs="宋体"/>
          <w:szCs w:val="36"/>
          <w:highlight w:val="none"/>
        </w:rPr>
        <w:fldChar w:fldCharType="separate"/>
      </w:r>
      <w:r>
        <w:rPr>
          <w:rFonts w:hint="eastAsia" w:ascii="宋体" w:hAnsi="宋体" w:eastAsia="宋体" w:cs="宋体"/>
          <w:bCs/>
          <w:szCs w:val="32"/>
          <w:highlight w:val="none"/>
        </w:rPr>
        <w:t>二、招标文件</w:t>
      </w:r>
      <w:r>
        <w:rPr>
          <w:highlight w:val="none"/>
        </w:rPr>
        <w:tab/>
      </w:r>
      <w:r>
        <w:rPr>
          <w:highlight w:val="none"/>
        </w:rPr>
        <w:fldChar w:fldCharType="begin"/>
      </w:r>
      <w:r>
        <w:rPr>
          <w:highlight w:val="none"/>
        </w:rPr>
        <w:instrText xml:space="preserve"> PAGEREF _Toc7528 \h </w:instrText>
      </w:r>
      <w:r>
        <w:rPr>
          <w:highlight w:val="none"/>
        </w:rPr>
        <w:fldChar w:fldCharType="separate"/>
      </w:r>
      <w:r>
        <w:rPr>
          <w:highlight w:val="none"/>
        </w:rPr>
        <w:t>4</w:t>
      </w:r>
      <w:r>
        <w:rPr>
          <w:highlight w:val="none"/>
        </w:rPr>
        <w:fldChar w:fldCharType="end"/>
      </w:r>
      <w:r>
        <w:rPr>
          <w:rFonts w:hint="eastAsia" w:ascii="宋体" w:hAnsi="宋体" w:eastAsia="宋体" w:cs="宋体"/>
          <w:color w:val="auto"/>
          <w:szCs w:val="36"/>
          <w:highlight w:val="none"/>
        </w:rPr>
        <w:fldChar w:fldCharType="end"/>
      </w:r>
    </w:p>
    <w:p w14:paraId="3675D7E1">
      <w:pPr>
        <w:pStyle w:val="27"/>
        <w:tabs>
          <w:tab w:val="right" w:leader="dot" w:pos="9660"/>
        </w:tabs>
        <w:rPr>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_Toc29718 </w:instrText>
      </w:r>
      <w:r>
        <w:rPr>
          <w:rFonts w:hint="eastAsia" w:ascii="宋体" w:hAnsi="宋体" w:eastAsia="宋体" w:cs="宋体"/>
          <w:szCs w:val="36"/>
          <w:highlight w:val="none"/>
        </w:rPr>
        <w:fldChar w:fldCharType="separate"/>
      </w:r>
      <w:r>
        <w:rPr>
          <w:rFonts w:hint="eastAsia" w:ascii="宋体" w:hAnsi="宋体" w:eastAsia="宋体" w:cs="宋体"/>
          <w:bCs/>
          <w:szCs w:val="32"/>
          <w:highlight w:val="none"/>
        </w:rPr>
        <w:t>三、投标文件的编制</w:t>
      </w:r>
      <w:r>
        <w:rPr>
          <w:highlight w:val="none"/>
        </w:rPr>
        <w:tab/>
      </w:r>
      <w:r>
        <w:rPr>
          <w:highlight w:val="none"/>
        </w:rPr>
        <w:fldChar w:fldCharType="begin"/>
      </w:r>
      <w:r>
        <w:rPr>
          <w:highlight w:val="none"/>
        </w:rPr>
        <w:instrText xml:space="preserve"> PAGEREF _Toc29718 \h </w:instrText>
      </w:r>
      <w:r>
        <w:rPr>
          <w:highlight w:val="none"/>
        </w:rPr>
        <w:fldChar w:fldCharType="separate"/>
      </w:r>
      <w:r>
        <w:rPr>
          <w:highlight w:val="none"/>
        </w:rPr>
        <w:t>5</w:t>
      </w:r>
      <w:r>
        <w:rPr>
          <w:highlight w:val="none"/>
        </w:rPr>
        <w:fldChar w:fldCharType="end"/>
      </w:r>
      <w:r>
        <w:rPr>
          <w:rFonts w:hint="eastAsia" w:ascii="宋体" w:hAnsi="宋体" w:eastAsia="宋体" w:cs="宋体"/>
          <w:color w:val="auto"/>
          <w:szCs w:val="36"/>
          <w:highlight w:val="none"/>
        </w:rPr>
        <w:fldChar w:fldCharType="end"/>
      </w:r>
    </w:p>
    <w:p w14:paraId="68EDC435">
      <w:pPr>
        <w:pStyle w:val="27"/>
        <w:tabs>
          <w:tab w:val="right" w:leader="dot" w:pos="9660"/>
        </w:tabs>
        <w:rPr>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_Toc30921 </w:instrText>
      </w:r>
      <w:r>
        <w:rPr>
          <w:rFonts w:hint="eastAsia" w:ascii="宋体" w:hAnsi="宋体" w:eastAsia="宋体" w:cs="宋体"/>
          <w:szCs w:val="36"/>
          <w:highlight w:val="none"/>
        </w:rPr>
        <w:fldChar w:fldCharType="separate"/>
      </w:r>
      <w:r>
        <w:rPr>
          <w:rFonts w:hint="eastAsia" w:ascii="宋体" w:hAnsi="宋体" w:eastAsia="宋体" w:cs="宋体"/>
          <w:bCs/>
          <w:szCs w:val="32"/>
          <w:highlight w:val="none"/>
        </w:rPr>
        <w:t>四、投标文件的递交</w:t>
      </w:r>
      <w:r>
        <w:rPr>
          <w:highlight w:val="none"/>
        </w:rPr>
        <w:tab/>
      </w:r>
      <w:r>
        <w:rPr>
          <w:highlight w:val="none"/>
        </w:rPr>
        <w:fldChar w:fldCharType="begin"/>
      </w:r>
      <w:r>
        <w:rPr>
          <w:highlight w:val="none"/>
        </w:rPr>
        <w:instrText xml:space="preserve"> PAGEREF _Toc30921 \h </w:instrText>
      </w:r>
      <w:r>
        <w:rPr>
          <w:highlight w:val="none"/>
        </w:rPr>
        <w:fldChar w:fldCharType="separate"/>
      </w:r>
      <w:r>
        <w:rPr>
          <w:highlight w:val="none"/>
        </w:rPr>
        <w:t>6</w:t>
      </w:r>
      <w:r>
        <w:rPr>
          <w:highlight w:val="none"/>
        </w:rPr>
        <w:fldChar w:fldCharType="end"/>
      </w:r>
      <w:r>
        <w:rPr>
          <w:rFonts w:hint="eastAsia" w:ascii="宋体" w:hAnsi="宋体" w:eastAsia="宋体" w:cs="宋体"/>
          <w:color w:val="auto"/>
          <w:szCs w:val="36"/>
          <w:highlight w:val="none"/>
        </w:rPr>
        <w:fldChar w:fldCharType="end"/>
      </w:r>
    </w:p>
    <w:p w14:paraId="4A2B59A3">
      <w:pPr>
        <w:pStyle w:val="27"/>
        <w:tabs>
          <w:tab w:val="right" w:leader="dot" w:pos="9660"/>
        </w:tabs>
        <w:rPr>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_Toc3817 </w:instrText>
      </w:r>
      <w:r>
        <w:rPr>
          <w:rFonts w:hint="eastAsia" w:ascii="宋体" w:hAnsi="宋体" w:eastAsia="宋体" w:cs="宋体"/>
          <w:szCs w:val="36"/>
          <w:highlight w:val="none"/>
        </w:rPr>
        <w:fldChar w:fldCharType="separate"/>
      </w:r>
      <w:r>
        <w:rPr>
          <w:rFonts w:hint="eastAsia" w:ascii="宋体" w:hAnsi="宋体" w:eastAsia="宋体" w:cs="宋体"/>
          <w:bCs/>
          <w:szCs w:val="32"/>
          <w:highlight w:val="none"/>
        </w:rPr>
        <w:t>五、开标与评审</w:t>
      </w:r>
      <w:r>
        <w:rPr>
          <w:highlight w:val="none"/>
        </w:rPr>
        <w:tab/>
      </w:r>
      <w:r>
        <w:rPr>
          <w:highlight w:val="none"/>
        </w:rPr>
        <w:fldChar w:fldCharType="begin"/>
      </w:r>
      <w:r>
        <w:rPr>
          <w:highlight w:val="none"/>
        </w:rPr>
        <w:instrText xml:space="preserve"> PAGEREF _Toc3817 \h </w:instrText>
      </w:r>
      <w:r>
        <w:rPr>
          <w:highlight w:val="none"/>
        </w:rPr>
        <w:fldChar w:fldCharType="separate"/>
      </w:r>
      <w:r>
        <w:rPr>
          <w:highlight w:val="none"/>
        </w:rPr>
        <w:t>7</w:t>
      </w:r>
      <w:r>
        <w:rPr>
          <w:highlight w:val="none"/>
        </w:rPr>
        <w:fldChar w:fldCharType="end"/>
      </w:r>
      <w:r>
        <w:rPr>
          <w:rFonts w:hint="eastAsia" w:ascii="宋体" w:hAnsi="宋体" w:eastAsia="宋体" w:cs="宋体"/>
          <w:color w:val="auto"/>
          <w:szCs w:val="36"/>
          <w:highlight w:val="none"/>
        </w:rPr>
        <w:fldChar w:fldCharType="end"/>
      </w:r>
    </w:p>
    <w:p w14:paraId="2B9C8D8A">
      <w:pPr>
        <w:pStyle w:val="27"/>
        <w:tabs>
          <w:tab w:val="right" w:leader="dot" w:pos="9660"/>
        </w:tabs>
        <w:rPr>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_Toc25740 </w:instrText>
      </w:r>
      <w:r>
        <w:rPr>
          <w:rFonts w:hint="eastAsia" w:ascii="宋体" w:hAnsi="宋体" w:eastAsia="宋体" w:cs="宋体"/>
          <w:szCs w:val="36"/>
          <w:highlight w:val="none"/>
        </w:rPr>
        <w:fldChar w:fldCharType="separate"/>
      </w:r>
      <w:r>
        <w:rPr>
          <w:rFonts w:hint="eastAsia" w:ascii="宋体" w:hAnsi="宋体" w:eastAsia="宋体" w:cs="宋体"/>
          <w:bCs/>
          <w:szCs w:val="32"/>
          <w:highlight w:val="none"/>
        </w:rPr>
        <w:t>六、定标</w:t>
      </w:r>
      <w:r>
        <w:rPr>
          <w:highlight w:val="none"/>
        </w:rPr>
        <w:tab/>
      </w:r>
      <w:r>
        <w:rPr>
          <w:highlight w:val="none"/>
        </w:rPr>
        <w:fldChar w:fldCharType="begin"/>
      </w:r>
      <w:r>
        <w:rPr>
          <w:highlight w:val="none"/>
        </w:rPr>
        <w:instrText xml:space="preserve"> PAGEREF _Toc25740 \h </w:instrText>
      </w:r>
      <w:r>
        <w:rPr>
          <w:highlight w:val="none"/>
        </w:rPr>
        <w:fldChar w:fldCharType="separate"/>
      </w:r>
      <w:r>
        <w:rPr>
          <w:highlight w:val="none"/>
        </w:rPr>
        <w:t>11</w:t>
      </w:r>
      <w:r>
        <w:rPr>
          <w:highlight w:val="none"/>
        </w:rPr>
        <w:fldChar w:fldCharType="end"/>
      </w:r>
      <w:r>
        <w:rPr>
          <w:rFonts w:hint="eastAsia" w:ascii="宋体" w:hAnsi="宋体" w:eastAsia="宋体" w:cs="宋体"/>
          <w:color w:val="auto"/>
          <w:szCs w:val="36"/>
          <w:highlight w:val="none"/>
        </w:rPr>
        <w:fldChar w:fldCharType="end"/>
      </w:r>
    </w:p>
    <w:p w14:paraId="5F663EF9">
      <w:pPr>
        <w:pStyle w:val="27"/>
        <w:tabs>
          <w:tab w:val="right" w:leader="dot" w:pos="9660"/>
        </w:tabs>
        <w:rPr>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_Toc19849 </w:instrText>
      </w:r>
      <w:r>
        <w:rPr>
          <w:rFonts w:hint="eastAsia" w:ascii="宋体" w:hAnsi="宋体" w:eastAsia="宋体" w:cs="宋体"/>
          <w:szCs w:val="36"/>
          <w:highlight w:val="none"/>
        </w:rPr>
        <w:fldChar w:fldCharType="separate"/>
      </w:r>
      <w:r>
        <w:rPr>
          <w:rFonts w:hint="eastAsia" w:ascii="宋体" w:hAnsi="宋体" w:eastAsia="宋体" w:cs="宋体"/>
          <w:bCs/>
          <w:szCs w:val="32"/>
          <w:highlight w:val="none"/>
        </w:rPr>
        <w:t>七、授予合同</w:t>
      </w:r>
      <w:r>
        <w:rPr>
          <w:highlight w:val="none"/>
        </w:rPr>
        <w:tab/>
      </w:r>
      <w:r>
        <w:rPr>
          <w:highlight w:val="none"/>
        </w:rPr>
        <w:fldChar w:fldCharType="begin"/>
      </w:r>
      <w:r>
        <w:rPr>
          <w:highlight w:val="none"/>
        </w:rPr>
        <w:instrText xml:space="preserve"> PAGEREF _Toc19849 \h </w:instrText>
      </w:r>
      <w:r>
        <w:rPr>
          <w:highlight w:val="none"/>
        </w:rPr>
        <w:fldChar w:fldCharType="separate"/>
      </w:r>
      <w:r>
        <w:rPr>
          <w:highlight w:val="none"/>
        </w:rPr>
        <w:t>12</w:t>
      </w:r>
      <w:r>
        <w:rPr>
          <w:highlight w:val="none"/>
        </w:rPr>
        <w:fldChar w:fldCharType="end"/>
      </w:r>
      <w:r>
        <w:rPr>
          <w:rFonts w:hint="eastAsia" w:ascii="宋体" w:hAnsi="宋体" w:eastAsia="宋体" w:cs="宋体"/>
          <w:color w:val="auto"/>
          <w:szCs w:val="36"/>
          <w:highlight w:val="none"/>
        </w:rPr>
        <w:fldChar w:fldCharType="end"/>
      </w:r>
    </w:p>
    <w:p w14:paraId="76A8310D">
      <w:pPr>
        <w:pStyle w:val="37"/>
        <w:tabs>
          <w:tab w:val="right" w:leader="dot" w:pos="9660"/>
          <w:tab w:val="clear" w:pos="9450"/>
        </w:tabs>
        <w:rPr>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_Toc32533 </w:instrText>
      </w:r>
      <w:r>
        <w:rPr>
          <w:rFonts w:hint="eastAsia" w:ascii="宋体" w:hAnsi="宋体" w:eastAsia="宋体" w:cs="宋体"/>
          <w:szCs w:val="36"/>
          <w:highlight w:val="none"/>
        </w:rPr>
        <w:fldChar w:fldCharType="separate"/>
      </w:r>
      <w:r>
        <w:rPr>
          <w:rFonts w:hint="eastAsia" w:ascii="宋体" w:hAnsi="宋体" w:eastAsia="宋体" w:cs="宋体"/>
          <w:highlight w:val="none"/>
        </w:rPr>
        <w:t>第三章 合同文本</w:t>
      </w:r>
      <w:r>
        <w:rPr>
          <w:highlight w:val="none"/>
        </w:rPr>
        <w:tab/>
      </w:r>
      <w:r>
        <w:rPr>
          <w:highlight w:val="none"/>
        </w:rPr>
        <w:fldChar w:fldCharType="begin"/>
      </w:r>
      <w:r>
        <w:rPr>
          <w:highlight w:val="none"/>
        </w:rPr>
        <w:instrText xml:space="preserve"> PAGEREF _Toc32533 \h </w:instrText>
      </w:r>
      <w:r>
        <w:rPr>
          <w:highlight w:val="none"/>
        </w:rPr>
        <w:fldChar w:fldCharType="separate"/>
      </w:r>
      <w:r>
        <w:rPr>
          <w:highlight w:val="none"/>
        </w:rPr>
        <w:t>14</w:t>
      </w:r>
      <w:r>
        <w:rPr>
          <w:highlight w:val="none"/>
        </w:rPr>
        <w:fldChar w:fldCharType="end"/>
      </w:r>
      <w:r>
        <w:rPr>
          <w:rFonts w:hint="eastAsia" w:ascii="宋体" w:hAnsi="宋体" w:eastAsia="宋体" w:cs="宋体"/>
          <w:color w:val="auto"/>
          <w:szCs w:val="36"/>
          <w:highlight w:val="none"/>
        </w:rPr>
        <w:fldChar w:fldCharType="end"/>
      </w:r>
    </w:p>
    <w:p w14:paraId="72642AEB">
      <w:pPr>
        <w:pStyle w:val="37"/>
        <w:tabs>
          <w:tab w:val="right" w:leader="dot" w:pos="9660"/>
          <w:tab w:val="clear" w:pos="9450"/>
        </w:tabs>
        <w:rPr>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_Toc26204 </w:instrText>
      </w:r>
      <w:r>
        <w:rPr>
          <w:rFonts w:hint="eastAsia" w:ascii="宋体" w:hAnsi="宋体" w:eastAsia="宋体" w:cs="宋体"/>
          <w:szCs w:val="36"/>
          <w:highlight w:val="none"/>
        </w:rPr>
        <w:fldChar w:fldCharType="separate"/>
      </w:r>
      <w:r>
        <w:rPr>
          <w:rFonts w:hint="eastAsia" w:ascii="宋体" w:hAnsi="宋体" w:eastAsia="宋体" w:cs="宋体"/>
          <w:highlight w:val="none"/>
        </w:rPr>
        <w:t>第四章 采购需求</w:t>
      </w:r>
      <w:r>
        <w:rPr>
          <w:highlight w:val="none"/>
        </w:rPr>
        <w:tab/>
      </w:r>
      <w:r>
        <w:rPr>
          <w:highlight w:val="none"/>
        </w:rPr>
        <w:fldChar w:fldCharType="begin"/>
      </w:r>
      <w:r>
        <w:rPr>
          <w:highlight w:val="none"/>
        </w:rPr>
        <w:instrText xml:space="preserve"> PAGEREF _Toc26204 \h </w:instrText>
      </w:r>
      <w:r>
        <w:rPr>
          <w:highlight w:val="none"/>
        </w:rPr>
        <w:fldChar w:fldCharType="separate"/>
      </w:r>
      <w:r>
        <w:rPr>
          <w:highlight w:val="none"/>
        </w:rPr>
        <w:t>25</w:t>
      </w:r>
      <w:r>
        <w:rPr>
          <w:highlight w:val="none"/>
        </w:rPr>
        <w:fldChar w:fldCharType="end"/>
      </w:r>
      <w:r>
        <w:rPr>
          <w:rFonts w:hint="eastAsia" w:ascii="宋体" w:hAnsi="宋体" w:eastAsia="宋体" w:cs="宋体"/>
          <w:color w:val="auto"/>
          <w:szCs w:val="36"/>
          <w:highlight w:val="none"/>
        </w:rPr>
        <w:fldChar w:fldCharType="end"/>
      </w:r>
    </w:p>
    <w:p w14:paraId="11E05763">
      <w:pPr>
        <w:pStyle w:val="37"/>
        <w:tabs>
          <w:tab w:val="right" w:leader="dot" w:pos="9660"/>
          <w:tab w:val="clear" w:pos="9450"/>
        </w:tabs>
        <w:rPr>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_Toc14451 </w:instrText>
      </w:r>
      <w:r>
        <w:rPr>
          <w:rFonts w:hint="eastAsia" w:ascii="宋体" w:hAnsi="宋体" w:eastAsia="宋体" w:cs="宋体"/>
          <w:szCs w:val="36"/>
          <w:highlight w:val="none"/>
        </w:rPr>
        <w:fldChar w:fldCharType="separate"/>
      </w:r>
      <w:r>
        <w:rPr>
          <w:rFonts w:hint="eastAsia" w:ascii="宋体" w:hAnsi="宋体" w:eastAsia="宋体" w:cs="宋体"/>
          <w:highlight w:val="none"/>
        </w:rPr>
        <w:t>第五章 评审方法与评审标准</w:t>
      </w:r>
      <w:r>
        <w:rPr>
          <w:highlight w:val="none"/>
        </w:rPr>
        <w:tab/>
      </w:r>
      <w:r>
        <w:rPr>
          <w:highlight w:val="none"/>
        </w:rPr>
        <w:fldChar w:fldCharType="begin"/>
      </w:r>
      <w:r>
        <w:rPr>
          <w:highlight w:val="none"/>
        </w:rPr>
        <w:instrText xml:space="preserve"> PAGEREF _Toc14451 \h </w:instrText>
      </w:r>
      <w:r>
        <w:rPr>
          <w:highlight w:val="none"/>
        </w:rPr>
        <w:fldChar w:fldCharType="separate"/>
      </w:r>
      <w:r>
        <w:rPr>
          <w:highlight w:val="none"/>
        </w:rPr>
        <w:t>35</w:t>
      </w:r>
      <w:r>
        <w:rPr>
          <w:highlight w:val="none"/>
        </w:rPr>
        <w:fldChar w:fldCharType="end"/>
      </w:r>
      <w:r>
        <w:rPr>
          <w:rFonts w:hint="eastAsia" w:ascii="宋体" w:hAnsi="宋体" w:eastAsia="宋体" w:cs="宋体"/>
          <w:color w:val="auto"/>
          <w:szCs w:val="36"/>
          <w:highlight w:val="none"/>
        </w:rPr>
        <w:fldChar w:fldCharType="end"/>
      </w:r>
    </w:p>
    <w:p w14:paraId="4AAAED9A">
      <w:pPr>
        <w:pStyle w:val="37"/>
        <w:tabs>
          <w:tab w:val="right" w:leader="dot" w:pos="9660"/>
          <w:tab w:val="clear" w:pos="9450"/>
        </w:tabs>
        <w:rPr>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_Toc30547 </w:instrText>
      </w:r>
      <w:r>
        <w:rPr>
          <w:rFonts w:hint="eastAsia" w:ascii="宋体" w:hAnsi="宋体" w:eastAsia="宋体" w:cs="宋体"/>
          <w:szCs w:val="36"/>
          <w:highlight w:val="none"/>
        </w:rPr>
        <w:fldChar w:fldCharType="separate"/>
      </w:r>
      <w:r>
        <w:rPr>
          <w:rFonts w:hint="eastAsia" w:ascii="宋体" w:hAnsi="宋体" w:eastAsia="宋体" w:cs="宋体"/>
          <w:highlight w:val="none"/>
        </w:rPr>
        <w:t>第六章 投标文件格式</w:t>
      </w:r>
      <w:r>
        <w:rPr>
          <w:highlight w:val="none"/>
        </w:rPr>
        <w:tab/>
      </w:r>
      <w:r>
        <w:rPr>
          <w:highlight w:val="none"/>
        </w:rPr>
        <w:fldChar w:fldCharType="begin"/>
      </w:r>
      <w:r>
        <w:rPr>
          <w:highlight w:val="none"/>
        </w:rPr>
        <w:instrText xml:space="preserve"> PAGEREF _Toc30547 \h </w:instrText>
      </w:r>
      <w:r>
        <w:rPr>
          <w:highlight w:val="none"/>
        </w:rPr>
        <w:fldChar w:fldCharType="separate"/>
      </w:r>
      <w:r>
        <w:rPr>
          <w:highlight w:val="none"/>
        </w:rPr>
        <w:t>40</w:t>
      </w:r>
      <w:r>
        <w:rPr>
          <w:highlight w:val="none"/>
        </w:rPr>
        <w:fldChar w:fldCharType="end"/>
      </w:r>
      <w:r>
        <w:rPr>
          <w:rFonts w:hint="eastAsia" w:ascii="宋体" w:hAnsi="宋体" w:eastAsia="宋体" w:cs="宋体"/>
          <w:color w:val="auto"/>
          <w:szCs w:val="36"/>
          <w:highlight w:val="none"/>
        </w:rPr>
        <w:fldChar w:fldCharType="end"/>
      </w:r>
    </w:p>
    <w:p w14:paraId="342C48D8">
      <w:pPr>
        <w:pStyle w:val="47"/>
        <w:tabs>
          <w:tab w:val="right" w:leader="dot" w:pos="9660"/>
          <w:tab w:val="clear" w:pos="9450"/>
        </w:tabs>
        <w:rPr>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_Toc29815 </w:instrText>
      </w:r>
      <w:r>
        <w:rPr>
          <w:rFonts w:hint="eastAsia" w:ascii="宋体" w:hAnsi="宋体" w:eastAsia="宋体" w:cs="宋体"/>
          <w:szCs w:val="36"/>
          <w:highlight w:val="none"/>
        </w:rPr>
        <w:fldChar w:fldCharType="separate"/>
      </w:r>
      <w:r>
        <w:rPr>
          <w:rFonts w:hint="eastAsia" w:ascii="宋体" w:hAnsi="宋体" w:eastAsia="宋体" w:cs="宋体"/>
          <w:highlight w:val="none"/>
        </w:rPr>
        <w:t>附件1 开标一览表</w:t>
      </w:r>
      <w:r>
        <w:rPr>
          <w:highlight w:val="none"/>
        </w:rPr>
        <w:tab/>
      </w:r>
      <w:r>
        <w:rPr>
          <w:highlight w:val="none"/>
        </w:rPr>
        <w:fldChar w:fldCharType="begin"/>
      </w:r>
      <w:r>
        <w:rPr>
          <w:highlight w:val="none"/>
        </w:rPr>
        <w:instrText xml:space="preserve"> PAGEREF _Toc29815 \h </w:instrText>
      </w:r>
      <w:r>
        <w:rPr>
          <w:highlight w:val="none"/>
        </w:rPr>
        <w:fldChar w:fldCharType="separate"/>
      </w:r>
      <w:r>
        <w:rPr>
          <w:highlight w:val="none"/>
        </w:rPr>
        <w:t>42</w:t>
      </w:r>
      <w:r>
        <w:rPr>
          <w:highlight w:val="none"/>
        </w:rPr>
        <w:fldChar w:fldCharType="end"/>
      </w:r>
      <w:r>
        <w:rPr>
          <w:rFonts w:hint="eastAsia" w:ascii="宋体" w:hAnsi="宋体" w:eastAsia="宋体" w:cs="宋体"/>
          <w:color w:val="auto"/>
          <w:szCs w:val="36"/>
          <w:highlight w:val="none"/>
        </w:rPr>
        <w:fldChar w:fldCharType="end"/>
      </w:r>
    </w:p>
    <w:p w14:paraId="3A65E936">
      <w:pPr>
        <w:pStyle w:val="47"/>
        <w:tabs>
          <w:tab w:val="right" w:leader="dot" w:pos="9660"/>
          <w:tab w:val="clear" w:pos="9450"/>
        </w:tabs>
        <w:rPr>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_Toc1076 </w:instrText>
      </w:r>
      <w:r>
        <w:rPr>
          <w:rFonts w:hint="eastAsia" w:ascii="宋体" w:hAnsi="宋体" w:eastAsia="宋体" w:cs="宋体"/>
          <w:szCs w:val="36"/>
          <w:highlight w:val="none"/>
        </w:rPr>
        <w:fldChar w:fldCharType="separate"/>
      </w:r>
      <w:r>
        <w:rPr>
          <w:rFonts w:hint="eastAsia" w:ascii="宋体" w:hAnsi="宋体" w:eastAsia="宋体" w:cs="宋体"/>
          <w:highlight w:val="none"/>
        </w:rPr>
        <w:t>附件</w:t>
      </w:r>
      <w:r>
        <w:rPr>
          <w:rFonts w:hint="eastAsia" w:ascii="宋体" w:hAnsi="宋体" w:eastAsia="宋体" w:cs="宋体"/>
          <w:highlight w:val="none"/>
          <w:lang w:val="en-US" w:eastAsia="zh-CN"/>
        </w:rPr>
        <w:t>2</w:t>
      </w:r>
      <w:r>
        <w:rPr>
          <w:rFonts w:hint="eastAsia" w:ascii="宋体" w:hAnsi="宋体" w:eastAsia="宋体" w:cs="宋体"/>
          <w:highlight w:val="none"/>
        </w:rPr>
        <w:t xml:space="preserve"> 具备履行合同所必需的设备和专业技术能力的书面声明</w:t>
      </w:r>
      <w:r>
        <w:rPr>
          <w:highlight w:val="none"/>
        </w:rPr>
        <w:tab/>
      </w:r>
      <w:r>
        <w:rPr>
          <w:highlight w:val="none"/>
        </w:rPr>
        <w:fldChar w:fldCharType="begin"/>
      </w:r>
      <w:r>
        <w:rPr>
          <w:highlight w:val="none"/>
        </w:rPr>
        <w:instrText xml:space="preserve"> PAGEREF _Toc1076 \h </w:instrText>
      </w:r>
      <w:r>
        <w:rPr>
          <w:highlight w:val="none"/>
        </w:rPr>
        <w:fldChar w:fldCharType="separate"/>
      </w:r>
      <w:r>
        <w:rPr>
          <w:highlight w:val="none"/>
        </w:rPr>
        <w:t>43</w:t>
      </w:r>
      <w:r>
        <w:rPr>
          <w:highlight w:val="none"/>
        </w:rPr>
        <w:fldChar w:fldCharType="end"/>
      </w:r>
      <w:r>
        <w:rPr>
          <w:rFonts w:hint="eastAsia" w:ascii="宋体" w:hAnsi="宋体" w:eastAsia="宋体" w:cs="宋体"/>
          <w:color w:val="auto"/>
          <w:szCs w:val="36"/>
          <w:highlight w:val="none"/>
        </w:rPr>
        <w:fldChar w:fldCharType="end"/>
      </w:r>
    </w:p>
    <w:p w14:paraId="42C65A7A">
      <w:pPr>
        <w:pStyle w:val="47"/>
        <w:tabs>
          <w:tab w:val="right" w:leader="dot" w:pos="9660"/>
          <w:tab w:val="clear" w:pos="9450"/>
        </w:tabs>
        <w:rPr>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_Toc25138 </w:instrText>
      </w:r>
      <w:r>
        <w:rPr>
          <w:rFonts w:hint="eastAsia" w:ascii="宋体" w:hAnsi="宋体" w:eastAsia="宋体" w:cs="宋体"/>
          <w:szCs w:val="36"/>
          <w:highlight w:val="none"/>
        </w:rPr>
        <w:fldChar w:fldCharType="separate"/>
      </w:r>
      <w:r>
        <w:rPr>
          <w:rFonts w:hint="eastAsia" w:ascii="宋体" w:hAnsi="宋体" w:eastAsia="宋体" w:cs="宋体"/>
          <w:highlight w:val="none"/>
        </w:rPr>
        <w:t>附件</w:t>
      </w:r>
      <w:r>
        <w:rPr>
          <w:rFonts w:hint="eastAsia" w:ascii="宋体" w:hAnsi="宋体" w:eastAsia="宋体" w:cs="宋体"/>
          <w:highlight w:val="none"/>
          <w:lang w:val="en-US" w:eastAsia="zh-CN"/>
        </w:rPr>
        <w:t>3</w:t>
      </w:r>
      <w:r>
        <w:rPr>
          <w:rFonts w:hint="eastAsia" w:ascii="宋体" w:hAnsi="宋体" w:eastAsia="宋体" w:cs="宋体"/>
          <w:highlight w:val="none"/>
        </w:rPr>
        <w:t xml:space="preserve"> 参加政府采购活动前3年内在经营活动中没有重大违法记录的书面声明</w:t>
      </w:r>
      <w:r>
        <w:rPr>
          <w:highlight w:val="none"/>
        </w:rPr>
        <w:tab/>
      </w:r>
      <w:r>
        <w:rPr>
          <w:highlight w:val="none"/>
        </w:rPr>
        <w:fldChar w:fldCharType="begin"/>
      </w:r>
      <w:r>
        <w:rPr>
          <w:highlight w:val="none"/>
        </w:rPr>
        <w:instrText xml:space="preserve"> PAGEREF _Toc25138 \h </w:instrText>
      </w:r>
      <w:r>
        <w:rPr>
          <w:highlight w:val="none"/>
        </w:rPr>
        <w:fldChar w:fldCharType="separate"/>
      </w:r>
      <w:r>
        <w:rPr>
          <w:highlight w:val="none"/>
        </w:rPr>
        <w:t>44</w:t>
      </w:r>
      <w:r>
        <w:rPr>
          <w:highlight w:val="none"/>
        </w:rPr>
        <w:fldChar w:fldCharType="end"/>
      </w:r>
      <w:r>
        <w:rPr>
          <w:rFonts w:hint="eastAsia" w:ascii="宋体" w:hAnsi="宋体" w:eastAsia="宋体" w:cs="宋体"/>
          <w:color w:val="auto"/>
          <w:szCs w:val="36"/>
          <w:highlight w:val="none"/>
        </w:rPr>
        <w:fldChar w:fldCharType="end"/>
      </w:r>
    </w:p>
    <w:p w14:paraId="4186AF9F">
      <w:pPr>
        <w:pStyle w:val="47"/>
        <w:tabs>
          <w:tab w:val="right" w:leader="dot" w:pos="9660"/>
          <w:tab w:val="clear" w:pos="9450"/>
        </w:tabs>
        <w:rPr>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_Toc30855 </w:instrText>
      </w:r>
      <w:r>
        <w:rPr>
          <w:rFonts w:hint="eastAsia" w:ascii="宋体" w:hAnsi="宋体" w:eastAsia="宋体" w:cs="宋体"/>
          <w:szCs w:val="36"/>
          <w:highlight w:val="none"/>
        </w:rPr>
        <w:fldChar w:fldCharType="separate"/>
      </w:r>
      <w:r>
        <w:rPr>
          <w:rFonts w:hint="eastAsia" w:ascii="宋体" w:hAnsi="宋体" w:eastAsia="宋体" w:cs="宋体"/>
          <w:highlight w:val="none"/>
        </w:rPr>
        <w:t>附件</w:t>
      </w:r>
      <w:r>
        <w:rPr>
          <w:rFonts w:hint="eastAsia" w:ascii="宋体" w:hAnsi="宋体" w:eastAsia="宋体" w:cs="宋体"/>
          <w:highlight w:val="none"/>
          <w:lang w:val="en-US" w:eastAsia="zh-CN"/>
        </w:rPr>
        <w:t>4</w:t>
      </w:r>
      <w:r>
        <w:rPr>
          <w:rFonts w:hint="eastAsia" w:ascii="宋体" w:hAnsi="宋体" w:eastAsia="宋体" w:cs="宋体"/>
          <w:highlight w:val="none"/>
        </w:rPr>
        <w:t xml:space="preserve"> 法人授权书</w:t>
      </w:r>
      <w:r>
        <w:rPr>
          <w:highlight w:val="none"/>
        </w:rPr>
        <w:tab/>
      </w:r>
      <w:r>
        <w:rPr>
          <w:highlight w:val="none"/>
        </w:rPr>
        <w:fldChar w:fldCharType="begin"/>
      </w:r>
      <w:r>
        <w:rPr>
          <w:highlight w:val="none"/>
        </w:rPr>
        <w:instrText xml:space="preserve"> PAGEREF _Toc30855 \h </w:instrText>
      </w:r>
      <w:r>
        <w:rPr>
          <w:highlight w:val="none"/>
        </w:rPr>
        <w:fldChar w:fldCharType="separate"/>
      </w:r>
      <w:r>
        <w:rPr>
          <w:highlight w:val="none"/>
        </w:rPr>
        <w:t>45</w:t>
      </w:r>
      <w:r>
        <w:rPr>
          <w:highlight w:val="none"/>
        </w:rPr>
        <w:fldChar w:fldCharType="end"/>
      </w:r>
      <w:r>
        <w:rPr>
          <w:rFonts w:hint="eastAsia" w:ascii="宋体" w:hAnsi="宋体" w:eastAsia="宋体" w:cs="宋体"/>
          <w:color w:val="auto"/>
          <w:szCs w:val="36"/>
          <w:highlight w:val="none"/>
        </w:rPr>
        <w:fldChar w:fldCharType="end"/>
      </w:r>
    </w:p>
    <w:p w14:paraId="2935063E">
      <w:pPr>
        <w:pStyle w:val="47"/>
        <w:tabs>
          <w:tab w:val="right" w:leader="dot" w:pos="9660"/>
          <w:tab w:val="clear" w:pos="9450"/>
        </w:tabs>
        <w:rPr>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_Toc23751 </w:instrText>
      </w:r>
      <w:r>
        <w:rPr>
          <w:rFonts w:hint="eastAsia" w:ascii="宋体" w:hAnsi="宋体" w:eastAsia="宋体" w:cs="宋体"/>
          <w:szCs w:val="36"/>
          <w:highlight w:val="none"/>
        </w:rPr>
        <w:fldChar w:fldCharType="separate"/>
      </w:r>
      <w:r>
        <w:rPr>
          <w:rFonts w:hint="eastAsia" w:ascii="宋体" w:hAnsi="宋体" w:eastAsia="宋体" w:cs="宋体"/>
          <w:highlight w:val="none"/>
        </w:rPr>
        <w:t>附件</w:t>
      </w:r>
      <w:r>
        <w:rPr>
          <w:rFonts w:hint="eastAsia" w:ascii="宋体" w:hAnsi="宋体" w:eastAsia="宋体" w:cs="宋体"/>
          <w:highlight w:val="none"/>
          <w:lang w:val="en-US" w:eastAsia="zh-CN"/>
        </w:rPr>
        <w:t>5</w:t>
      </w:r>
      <w:r>
        <w:rPr>
          <w:rFonts w:hint="eastAsia" w:ascii="宋体" w:hAnsi="宋体" w:eastAsia="宋体" w:cs="宋体"/>
          <w:highlight w:val="none"/>
        </w:rPr>
        <w:t xml:space="preserve"> 投标函</w:t>
      </w:r>
      <w:r>
        <w:rPr>
          <w:highlight w:val="none"/>
        </w:rPr>
        <w:tab/>
      </w:r>
      <w:r>
        <w:rPr>
          <w:highlight w:val="none"/>
        </w:rPr>
        <w:fldChar w:fldCharType="begin"/>
      </w:r>
      <w:r>
        <w:rPr>
          <w:highlight w:val="none"/>
        </w:rPr>
        <w:instrText xml:space="preserve"> PAGEREF _Toc23751 \h </w:instrText>
      </w:r>
      <w:r>
        <w:rPr>
          <w:highlight w:val="none"/>
        </w:rPr>
        <w:fldChar w:fldCharType="separate"/>
      </w:r>
      <w:r>
        <w:rPr>
          <w:highlight w:val="none"/>
        </w:rPr>
        <w:t>46</w:t>
      </w:r>
      <w:r>
        <w:rPr>
          <w:highlight w:val="none"/>
        </w:rPr>
        <w:fldChar w:fldCharType="end"/>
      </w:r>
      <w:r>
        <w:rPr>
          <w:rFonts w:hint="eastAsia" w:ascii="宋体" w:hAnsi="宋体" w:eastAsia="宋体" w:cs="宋体"/>
          <w:color w:val="auto"/>
          <w:szCs w:val="36"/>
          <w:highlight w:val="none"/>
        </w:rPr>
        <w:fldChar w:fldCharType="end"/>
      </w:r>
    </w:p>
    <w:p w14:paraId="16AFE219">
      <w:pPr>
        <w:pStyle w:val="47"/>
        <w:tabs>
          <w:tab w:val="right" w:leader="dot" w:pos="9660"/>
          <w:tab w:val="clear" w:pos="9450"/>
        </w:tabs>
        <w:rPr>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_Toc20923 </w:instrText>
      </w:r>
      <w:r>
        <w:rPr>
          <w:rFonts w:hint="eastAsia" w:ascii="宋体" w:hAnsi="宋体" w:eastAsia="宋体" w:cs="宋体"/>
          <w:szCs w:val="36"/>
          <w:highlight w:val="none"/>
        </w:rPr>
        <w:fldChar w:fldCharType="separate"/>
      </w:r>
      <w:r>
        <w:rPr>
          <w:rFonts w:hint="eastAsia" w:ascii="宋体" w:hAnsi="宋体" w:eastAsia="宋体" w:cs="宋体"/>
          <w:bCs/>
          <w:szCs w:val="28"/>
          <w:highlight w:val="none"/>
        </w:rPr>
        <w:t>附件</w:t>
      </w:r>
      <w:r>
        <w:rPr>
          <w:rFonts w:hint="eastAsia" w:ascii="宋体" w:hAnsi="宋体" w:eastAsia="宋体" w:cs="宋体"/>
          <w:bCs/>
          <w:szCs w:val="28"/>
          <w:highlight w:val="none"/>
          <w:lang w:val="en-US" w:eastAsia="zh-CN"/>
        </w:rPr>
        <w:t>6</w:t>
      </w:r>
      <w:r>
        <w:rPr>
          <w:rFonts w:hint="eastAsia" w:ascii="宋体" w:hAnsi="宋体" w:eastAsia="宋体" w:cs="宋体"/>
          <w:bCs/>
          <w:szCs w:val="28"/>
          <w:highlight w:val="none"/>
        </w:rPr>
        <w:t xml:space="preserve"> 中小企业声明函</w:t>
      </w:r>
      <w:r>
        <w:rPr>
          <w:highlight w:val="none"/>
        </w:rPr>
        <w:tab/>
      </w:r>
      <w:r>
        <w:rPr>
          <w:highlight w:val="none"/>
        </w:rPr>
        <w:fldChar w:fldCharType="begin"/>
      </w:r>
      <w:r>
        <w:rPr>
          <w:highlight w:val="none"/>
        </w:rPr>
        <w:instrText xml:space="preserve"> PAGEREF _Toc20923 \h </w:instrText>
      </w:r>
      <w:r>
        <w:rPr>
          <w:highlight w:val="none"/>
        </w:rPr>
        <w:fldChar w:fldCharType="separate"/>
      </w:r>
      <w:r>
        <w:rPr>
          <w:highlight w:val="none"/>
        </w:rPr>
        <w:t>47</w:t>
      </w:r>
      <w:r>
        <w:rPr>
          <w:highlight w:val="none"/>
        </w:rPr>
        <w:fldChar w:fldCharType="end"/>
      </w:r>
      <w:r>
        <w:rPr>
          <w:rFonts w:hint="eastAsia" w:ascii="宋体" w:hAnsi="宋体" w:eastAsia="宋体" w:cs="宋体"/>
          <w:color w:val="auto"/>
          <w:szCs w:val="36"/>
          <w:highlight w:val="none"/>
        </w:rPr>
        <w:fldChar w:fldCharType="end"/>
      </w:r>
    </w:p>
    <w:p w14:paraId="17EED797">
      <w:pPr>
        <w:pStyle w:val="47"/>
        <w:tabs>
          <w:tab w:val="right" w:leader="dot" w:pos="9660"/>
          <w:tab w:val="clear" w:pos="9450"/>
        </w:tabs>
        <w:rPr>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_Toc1911 </w:instrText>
      </w:r>
      <w:r>
        <w:rPr>
          <w:rFonts w:hint="eastAsia" w:ascii="宋体" w:hAnsi="宋体" w:eastAsia="宋体" w:cs="宋体"/>
          <w:szCs w:val="36"/>
          <w:highlight w:val="none"/>
        </w:rPr>
        <w:fldChar w:fldCharType="separate"/>
      </w:r>
      <w:r>
        <w:rPr>
          <w:rFonts w:hint="eastAsia" w:ascii="宋体" w:hAnsi="宋体" w:eastAsia="宋体" w:cs="宋体"/>
          <w:bCs/>
          <w:szCs w:val="28"/>
          <w:highlight w:val="none"/>
        </w:rPr>
        <w:t>附件</w:t>
      </w:r>
      <w:r>
        <w:rPr>
          <w:rFonts w:hint="eastAsia" w:ascii="宋体" w:hAnsi="宋体" w:eastAsia="宋体" w:cs="宋体"/>
          <w:bCs/>
          <w:szCs w:val="28"/>
          <w:highlight w:val="none"/>
          <w:lang w:val="en-US" w:eastAsia="zh-CN"/>
        </w:rPr>
        <w:t>7</w:t>
      </w:r>
      <w:r>
        <w:rPr>
          <w:rFonts w:hint="eastAsia" w:ascii="宋体" w:hAnsi="宋体" w:eastAsia="宋体" w:cs="宋体"/>
          <w:bCs/>
          <w:szCs w:val="28"/>
          <w:highlight w:val="none"/>
        </w:rPr>
        <w:t xml:space="preserve"> 残疾人福利性单位声明函</w:t>
      </w:r>
      <w:r>
        <w:rPr>
          <w:highlight w:val="none"/>
        </w:rPr>
        <w:tab/>
      </w:r>
      <w:r>
        <w:rPr>
          <w:highlight w:val="none"/>
        </w:rPr>
        <w:fldChar w:fldCharType="begin"/>
      </w:r>
      <w:r>
        <w:rPr>
          <w:highlight w:val="none"/>
        </w:rPr>
        <w:instrText xml:space="preserve"> PAGEREF _Toc1911 \h </w:instrText>
      </w:r>
      <w:r>
        <w:rPr>
          <w:highlight w:val="none"/>
        </w:rPr>
        <w:fldChar w:fldCharType="separate"/>
      </w:r>
      <w:r>
        <w:rPr>
          <w:highlight w:val="none"/>
        </w:rPr>
        <w:t>48</w:t>
      </w:r>
      <w:r>
        <w:rPr>
          <w:highlight w:val="none"/>
        </w:rPr>
        <w:fldChar w:fldCharType="end"/>
      </w:r>
      <w:r>
        <w:rPr>
          <w:rFonts w:hint="eastAsia" w:ascii="宋体" w:hAnsi="宋体" w:eastAsia="宋体" w:cs="宋体"/>
          <w:color w:val="auto"/>
          <w:szCs w:val="36"/>
          <w:highlight w:val="none"/>
        </w:rPr>
        <w:fldChar w:fldCharType="end"/>
      </w:r>
    </w:p>
    <w:p w14:paraId="0BADA0C4">
      <w:pPr>
        <w:pStyle w:val="47"/>
        <w:tabs>
          <w:tab w:val="right" w:leader="dot" w:pos="9660"/>
          <w:tab w:val="clear" w:pos="9450"/>
        </w:tabs>
        <w:rPr>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_Toc31595 </w:instrText>
      </w:r>
      <w:r>
        <w:rPr>
          <w:rFonts w:hint="eastAsia" w:ascii="宋体" w:hAnsi="宋体" w:eastAsia="宋体" w:cs="宋体"/>
          <w:szCs w:val="36"/>
          <w:highlight w:val="none"/>
        </w:rPr>
        <w:fldChar w:fldCharType="separate"/>
      </w:r>
      <w:r>
        <w:rPr>
          <w:rFonts w:hint="eastAsia" w:ascii="宋体" w:hAnsi="宋体" w:eastAsia="宋体" w:cs="宋体"/>
          <w:highlight w:val="none"/>
        </w:rPr>
        <w:t>附件</w:t>
      </w:r>
      <w:r>
        <w:rPr>
          <w:rFonts w:hint="eastAsia" w:ascii="宋体" w:hAnsi="宋体" w:eastAsia="宋体" w:cs="宋体"/>
          <w:highlight w:val="none"/>
          <w:lang w:val="en-US" w:eastAsia="zh-CN"/>
        </w:rPr>
        <w:t>8</w:t>
      </w:r>
      <w:r>
        <w:rPr>
          <w:rFonts w:hint="eastAsia" w:ascii="宋体" w:hAnsi="宋体" w:eastAsia="宋体" w:cs="宋体"/>
          <w:highlight w:val="none"/>
        </w:rPr>
        <w:t xml:space="preserve"> 实质性要求响应及偏离表</w:t>
      </w:r>
      <w:r>
        <w:rPr>
          <w:highlight w:val="none"/>
        </w:rPr>
        <w:tab/>
      </w:r>
      <w:r>
        <w:rPr>
          <w:highlight w:val="none"/>
        </w:rPr>
        <w:fldChar w:fldCharType="begin"/>
      </w:r>
      <w:r>
        <w:rPr>
          <w:highlight w:val="none"/>
        </w:rPr>
        <w:instrText xml:space="preserve"> PAGEREF _Toc31595 \h </w:instrText>
      </w:r>
      <w:r>
        <w:rPr>
          <w:highlight w:val="none"/>
        </w:rPr>
        <w:fldChar w:fldCharType="separate"/>
      </w:r>
      <w:r>
        <w:rPr>
          <w:highlight w:val="none"/>
        </w:rPr>
        <w:t>49</w:t>
      </w:r>
      <w:r>
        <w:rPr>
          <w:highlight w:val="none"/>
        </w:rPr>
        <w:fldChar w:fldCharType="end"/>
      </w:r>
      <w:r>
        <w:rPr>
          <w:rFonts w:hint="eastAsia" w:ascii="宋体" w:hAnsi="宋体" w:eastAsia="宋体" w:cs="宋体"/>
          <w:color w:val="auto"/>
          <w:szCs w:val="36"/>
          <w:highlight w:val="none"/>
        </w:rPr>
        <w:fldChar w:fldCharType="end"/>
      </w:r>
    </w:p>
    <w:p w14:paraId="4E8F19BB">
      <w:pPr>
        <w:pStyle w:val="47"/>
        <w:tabs>
          <w:tab w:val="right" w:leader="dot" w:pos="9660"/>
          <w:tab w:val="clear" w:pos="9450"/>
        </w:tabs>
        <w:rPr>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_Toc10056 </w:instrText>
      </w:r>
      <w:r>
        <w:rPr>
          <w:rFonts w:hint="eastAsia" w:ascii="宋体" w:hAnsi="宋体" w:eastAsia="宋体" w:cs="宋体"/>
          <w:szCs w:val="36"/>
          <w:highlight w:val="none"/>
        </w:rPr>
        <w:fldChar w:fldCharType="separate"/>
      </w:r>
      <w:r>
        <w:rPr>
          <w:rFonts w:hint="eastAsia" w:ascii="宋体" w:hAnsi="宋体" w:eastAsia="宋体" w:cs="宋体"/>
          <w:highlight w:val="none"/>
        </w:rPr>
        <w:t>附件</w:t>
      </w:r>
      <w:r>
        <w:rPr>
          <w:rFonts w:hint="eastAsia" w:ascii="宋体" w:hAnsi="宋体" w:eastAsia="宋体" w:cs="宋体"/>
          <w:highlight w:val="none"/>
          <w:lang w:val="en-US" w:eastAsia="zh-CN"/>
        </w:rPr>
        <w:t>9</w:t>
      </w:r>
      <w:r>
        <w:rPr>
          <w:rFonts w:hint="eastAsia" w:ascii="宋体" w:hAnsi="宋体" w:eastAsia="宋体" w:cs="宋体"/>
          <w:highlight w:val="none"/>
        </w:rPr>
        <w:t xml:space="preserve"> 服务要求响应及偏离表</w:t>
      </w:r>
      <w:r>
        <w:rPr>
          <w:highlight w:val="none"/>
        </w:rPr>
        <w:tab/>
      </w:r>
      <w:r>
        <w:rPr>
          <w:highlight w:val="none"/>
        </w:rPr>
        <w:fldChar w:fldCharType="begin"/>
      </w:r>
      <w:r>
        <w:rPr>
          <w:highlight w:val="none"/>
        </w:rPr>
        <w:instrText xml:space="preserve"> PAGEREF _Toc10056 \h </w:instrText>
      </w:r>
      <w:r>
        <w:rPr>
          <w:highlight w:val="none"/>
        </w:rPr>
        <w:fldChar w:fldCharType="separate"/>
      </w:r>
      <w:r>
        <w:rPr>
          <w:highlight w:val="none"/>
        </w:rPr>
        <w:t>50</w:t>
      </w:r>
      <w:r>
        <w:rPr>
          <w:highlight w:val="none"/>
        </w:rPr>
        <w:fldChar w:fldCharType="end"/>
      </w:r>
      <w:r>
        <w:rPr>
          <w:rFonts w:hint="eastAsia" w:ascii="宋体" w:hAnsi="宋体" w:eastAsia="宋体" w:cs="宋体"/>
          <w:color w:val="auto"/>
          <w:szCs w:val="36"/>
          <w:highlight w:val="none"/>
        </w:rPr>
        <w:fldChar w:fldCharType="end"/>
      </w:r>
    </w:p>
    <w:p w14:paraId="55E9DC12">
      <w:pPr>
        <w:pStyle w:val="47"/>
        <w:tabs>
          <w:tab w:val="right" w:leader="dot" w:pos="9660"/>
          <w:tab w:val="clear" w:pos="9450"/>
        </w:tabs>
        <w:rPr>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_Toc30456 </w:instrText>
      </w:r>
      <w:r>
        <w:rPr>
          <w:rFonts w:hint="eastAsia" w:ascii="宋体" w:hAnsi="宋体" w:eastAsia="宋体" w:cs="宋体"/>
          <w:szCs w:val="36"/>
          <w:highlight w:val="none"/>
        </w:rPr>
        <w:fldChar w:fldCharType="separate"/>
      </w:r>
      <w:r>
        <w:rPr>
          <w:rFonts w:hint="eastAsia" w:ascii="宋体" w:hAnsi="宋体" w:eastAsia="宋体" w:cs="宋体"/>
          <w:highlight w:val="none"/>
        </w:rPr>
        <w:t>附件</w:t>
      </w:r>
      <w:r>
        <w:rPr>
          <w:rFonts w:hint="eastAsia" w:ascii="宋体" w:hAnsi="宋体" w:eastAsia="宋体" w:cs="宋体"/>
          <w:highlight w:val="none"/>
          <w:lang w:val="en-US" w:eastAsia="zh-CN"/>
        </w:rPr>
        <w:t>10</w:t>
      </w:r>
      <w:r>
        <w:rPr>
          <w:rFonts w:hint="eastAsia" w:ascii="宋体" w:hAnsi="宋体" w:eastAsia="宋体" w:cs="宋体"/>
          <w:highlight w:val="none"/>
        </w:rPr>
        <w:t xml:space="preserve"> 项目实施方案</w:t>
      </w:r>
      <w:r>
        <w:rPr>
          <w:highlight w:val="none"/>
        </w:rPr>
        <w:tab/>
      </w:r>
      <w:r>
        <w:rPr>
          <w:highlight w:val="none"/>
        </w:rPr>
        <w:fldChar w:fldCharType="begin"/>
      </w:r>
      <w:r>
        <w:rPr>
          <w:highlight w:val="none"/>
        </w:rPr>
        <w:instrText xml:space="preserve"> PAGEREF _Toc30456 \h </w:instrText>
      </w:r>
      <w:r>
        <w:rPr>
          <w:highlight w:val="none"/>
        </w:rPr>
        <w:fldChar w:fldCharType="separate"/>
      </w:r>
      <w:r>
        <w:rPr>
          <w:highlight w:val="none"/>
        </w:rPr>
        <w:t>51</w:t>
      </w:r>
      <w:r>
        <w:rPr>
          <w:highlight w:val="none"/>
        </w:rPr>
        <w:fldChar w:fldCharType="end"/>
      </w:r>
      <w:r>
        <w:rPr>
          <w:rFonts w:hint="eastAsia" w:ascii="宋体" w:hAnsi="宋体" w:eastAsia="宋体" w:cs="宋体"/>
          <w:color w:val="auto"/>
          <w:szCs w:val="36"/>
          <w:highlight w:val="none"/>
        </w:rPr>
        <w:fldChar w:fldCharType="end"/>
      </w:r>
    </w:p>
    <w:p w14:paraId="4A49368F">
      <w:pPr>
        <w:pStyle w:val="47"/>
        <w:tabs>
          <w:tab w:val="right" w:leader="dot" w:pos="9660"/>
          <w:tab w:val="clear" w:pos="9450"/>
        </w:tabs>
        <w:rPr>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_Toc3775 </w:instrText>
      </w:r>
      <w:r>
        <w:rPr>
          <w:rFonts w:hint="eastAsia" w:ascii="宋体" w:hAnsi="宋体" w:eastAsia="宋体" w:cs="宋体"/>
          <w:szCs w:val="36"/>
          <w:highlight w:val="none"/>
        </w:rPr>
        <w:fldChar w:fldCharType="separate"/>
      </w:r>
      <w:r>
        <w:rPr>
          <w:rFonts w:hint="eastAsia" w:ascii="宋体" w:hAnsi="宋体" w:eastAsia="宋体" w:cs="宋体"/>
          <w:highlight w:val="none"/>
        </w:rPr>
        <w:t>附件1</w:t>
      </w:r>
      <w:r>
        <w:rPr>
          <w:rFonts w:hint="eastAsia" w:ascii="宋体" w:hAnsi="宋体" w:eastAsia="宋体" w:cs="宋体"/>
          <w:highlight w:val="none"/>
          <w:lang w:val="en-US" w:eastAsia="zh-CN"/>
        </w:rPr>
        <w:t>1</w:t>
      </w:r>
      <w:r>
        <w:rPr>
          <w:rFonts w:hint="eastAsia" w:ascii="宋体" w:hAnsi="宋体" w:eastAsia="宋体" w:cs="宋体"/>
          <w:highlight w:val="none"/>
        </w:rPr>
        <w:t xml:space="preserve"> 项目组人员一览表</w:t>
      </w:r>
      <w:r>
        <w:rPr>
          <w:highlight w:val="none"/>
        </w:rPr>
        <w:tab/>
      </w:r>
      <w:r>
        <w:rPr>
          <w:highlight w:val="none"/>
        </w:rPr>
        <w:fldChar w:fldCharType="begin"/>
      </w:r>
      <w:r>
        <w:rPr>
          <w:highlight w:val="none"/>
        </w:rPr>
        <w:instrText xml:space="preserve"> PAGEREF _Toc3775 \h </w:instrText>
      </w:r>
      <w:r>
        <w:rPr>
          <w:highlight w:val="none"/>
        </w:rPr>
        <w:fldChar w:fldCharType="separate"/>
      </w:r>
      <w:r>
        <w:rPr>
          <w:highlight w:val="none"/>
        </w:rPr>
        <w:t>52</w:t>
      </w:r>
      <w:r>
        <w:rPr>
          <w:highlight w:val="none"/>
        </w:rPr>
        <w:fldChar w:fldCharType="end"/>
      </w:r>
      <w:r>
        <w:rPr>
          <w:rFonts w:hint="eastAsia" w:ascii="宋体" w:hAnsi="宋体" w:eastAsia="宋体" w:cs="宋体"/>
          <w:color w:val="auto"/>
          <w:szCs w:val="36"/>
          <w:highlight w:val="none"/>
        </w:rPr>
        <w:fldChar w:fldCharType="end"/>
      </w:r>
    </w:p>
    <w:p w14:paraId="774AABD6">
      <w:pPr>
        <w:pStyle w:val="47"/>
        <w:tabs>
          <w:tab w:val="right" w:leader="dot" w:pos="9660"/>
          <w:tab w:val="clear" w:pos="9450"/>
        </w:tabs>
        <w:rPr>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_Toc28886 </w:instrText>
      </w:r>
      <w:r>
        <w:rPr>
          <w:rFonts w:hint="eastAsia" w:ascii="宋体" w:hAnsi="宋体" w:eastAsia="宋体" w:cs="宋体"/>
          <w:szCs w:val="36"/>
          <w:highlight w:val="none"/>
        </w:rPr>
        <w:fldChar w:fldCharType="separate"/>
      </w:r>
      <w:r>
        <w:rPr>
          <w:rFonts w:hint="eastAsia" w:ascii="宋体" w:hAnsi="宋体" w:eastAsia="宋体" w:cs="宋体"/>
          <w:highlight w:val="none"/>
        </w:rPr>
        <w:t>附件1</w:t>
      </w:r>
      <w:r>
        <w:rPr>
          <w:rFonts w:hint="eastAsia" w:ascii="宋体" w:hAnsi="宋体" w:eastAsia="宋体" w:cs="宋体"/>
          <w:highlight w:val="none"/>
          <w:lang w:val="en-US" w:eastAsia="zh-CN"/>
        </w:rPr>
        <w:t>2</w:t>
      </w:r>
      <w:r>
        <w:rPr>
          <w:rFonts w:hint="eastAsia" w:ascii="宋体" w:hAnsi="宋体" w:eastAsia="宋体" w:cs="宋体"/>
          <w:highlight w:val="none"/>
        </w:rPr>
        <w:t xml:space="preserve"> </w:t>
      </w:r>
      <w:r>
        <w:rPr>
          <w:rFonts w:hint="eastAsia" w:ascii="宋体" w:hAnsi="宋体" w:eastAsia="宋体" w:cs="宋体"/>
          <w:highlight w:val="none"/>
          <w:lang w:val="en-US" w:eastAsia="zh-CN"/>
        </w:rPr>
        <w:t>车辆</w:t>
      </w:r>
      <w:r>
        <w:rPr>
          <w:rFonts w:hint="eastAsia" w:ascii="宋体" w:hAnsi="宋体" w:eastAsia="宋体" w:cs="宋体"/>
          <w:highlight w:val="none"/>
        </w:rPr>
        <w:t>设备配备一览表</w:t>
      </w:r>
      <w:r>
        <w:rPr>
          <w:highlight w:val="none"/>
        </w:rPr>
        <w:tab/>
      </w:r>
      <w:r>
        <w:rPr>
          <w:highlight w:val="none"/>
        </w:rPr>
        <w:fldChar w:fldCharType="begin"/>
      </w:r>
      <w:r>
        <w:rPr>
          <w:highlight w:val="none"/>
        </w:rPr>
        <w:instrText xml:space="preserve"> PAGEREF _Toc28886 \h </w:instrText>
      </w:r>
      <w:r>
        <w:rPr>
          <w:highlight w:val="none"/>
        </w:rPr>
        <w:fldChar w:fldCharType="separate"/>
      </w:r>
      <w:r>
        <w:rPr>
          <w:highlight w:val="none"/>
        </w:rPr>
        <w:t>53</w:t>
      </w:r>
      <w:r>
        <w:rPr>
          <w:highlight w:val="none"/>
        </w:rPr>
        <w:fldChar w:fldCharType="end"/>
      </w:r>
      <w:r>
        <w:rPr>
          <w:rFonts w:hint="eastAsia" w:ascii="宋体" w:hAnsi="宋体" w:eastAsia="宋体" w:cs="宋体"/>
          <w:color w:val="auto"/>
          <w:szCs w:val="36"/>
          <w:highlight w:val="none"/>
        </w:rPr>
        <w:fldChar w:fldCharType="end"/>
      </w:r>
    </w:p>
    <w:p w14:paraId="790EB044">
      <w:pPr>
        <w:pStyle w:val="47"/>
        <w:tabs>
          <w:tab w:val="right" w:leader="dot" w:pos="9660"/>
          <w:tab w:val="clear" w:pos="9450"/>
        </w:tabs>
        <w:rPr>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_Toc21630 </w:instrText>
      </w:r>
      <w:r>
        <w:rPr>
          <w:rFonts w:hint="eastAsia" w:ascii="宋体" w:hAnsi="宋体" w:eastAsia="宋体" w:cs="宋体"/>
          <w:szCs w:val="36"/>
          <w:highlight w:val="none"/>
        </w:rPr>
        <w:fldChar w:fldCharType="separate"/>
      </w:r>
      <w:r>
        <w:rPr>
          <w:rFonts w:hint="eastAsia" w:ascii="宋体" w:hAnsi="宋体" w:eastAsia="宋体" w:cs="宋体"/>
          <w:highlight w:val="none"/>
        </w:rPr>
        <w:t>附件1</w:t>
      </w:r>
      <w:r>
        <w:rPr>
          <w:rFonts w:hint="eastAsia" w:ascii="宋体" w:hAnsi="宋体" w:eastAsia="宋体" w:cs="宋体"/>
          <w:highlight w:val="none"/>
          <w:lang w:val="en-US" w:eastAsia="zh-CN"/>
        </w:rPr>
        <w:t>3</w:t>
      </w:r>
      <w:r>
        <w:rPr>
          <w:rFonts w:hint="eastAsia" w:ascii="宋体" w:hAnsi="宋体" w:eastAsia="宋体" w:cs="宋体"/>
          <w:highlight w:val="none"/>
        </w:rPr>
        <w:t xml:space="preserve"> 业绩一览表</w:t>
      </w:r>
      <w:r>
        <w:rPr>
          <w:highlight w:val="none"/>
        </w:rPr>
        <w:tab/>
      </w:r>
      <w:r>
        <w:rPr>
          <w:highlight w:val="none"/>
        </w:rPr>
        <w:fldChar w:fldCharType="begin"/>
      </w:r>
      <w:r>
        <w:rPr>
          <w:highlight w:val="none"/>
        </w:rPr>
        <w:instrText xml:space="preserve"> PAGEREF _Toc21630 \h </w:instrText>
      </w:r>
      <w:r>
        <w:rPr>
          <w:highlight w:val="none"/>
        </w:rPr>
        <w:fldChar w:fldCharType="separate"/>
      </w:r>
      <w:r>
        <w:rPr>
          <w:highlight w:val="none"/>
        </w:rPr>
        <w:t>54</w:t>
      </w:r>
      <w:r>
        <w:rPr>
          <w:highlight w:val="none"/>
        </w:rPr>
        <w:fldChar w:fldCharType="end"/>
      </w:r>
      <w:r>
        <w:rPr>
          <w:rFonts w:hint="eastAsia" w:ascii="宋体" w:hAnsi="宋体" w:eastAsia="宋体" w:cs="宋体"/>
          <w:color w:val="auto"/>
          <w:szCs w:val="36"/>
          <w:highlight w:val="none"/>
        </w:rPr>
        <w:fldChar w:fldCharType="end"/>
      </w:r>
    </w:p>
    <w:p w14:paraId="25C0C2E9">
      <w:pPr>
        <w:pStyle w:val="47"/>
        <w:tabs>
          <w:tab w:val="right" w:leader="dot" w:pos="9660"/>
          <w:tab w:val="clear" w:pos="9450"/>
        </w:tabs>
        <w:rPr>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_Toc14641 </w:instrText>
      </w:r>
      <w:r>
        <w:rPr>
          <w:rFonts w:hint="eastAsia" w:ascii="宋体" w:hAnsi="宋体" w:eastAsia="宋体" w:cs="宋体"/>
          <w:szCs w:val="36"/>
          <w:highlight w:val="none"/>
        </w:rPr>
        <w:fldChar w:fldCharType="separate"/>
      </w:r>
      <w:r>
        <w:rPr>
          <w:rFonts w:hint="eastAsia" w:ascii="宋体" w:hAnsi="宋体" w:eastAsia="宋体" w:cs="宋体"/>
          <w:highlight w:val="none"/>
        </w:rPr>
        <w:t>附件1</w:t>
      </w:r>
      <w:r>
        <w:rPr>
          <w:rFonts w:hint="eastAsia" w:ascii="宋体" w:hAnsi="宋体" w:eastAsia="宋体" w:cs="宋体"/>
          <w:highlight w:val="none"/>
          <w:lang w:val="en-US" w:eastAsia="zh-CN"/>
        </w:rPr>
        <w:t>4</w:t>
      </w:r>
      <w:r>
        <w:rPr>
          <w:rFonts w:hint="eastAsia" w:ascii="宋体" w:hAnsi="宋体" w:eastAsia="宋体" w:cs="宋体"/>
          <w:highlight w:val="none"/>
        </w:rPr>
        <w:t xml:space="preserve"> 商务条件响应及偏离表</w:t>
      </w:r>
      <w:r>
        <w:rPr>
          <w:highlight w:val="none"/>
        </w:rPr>
        <w:tab/>
      </w:r>
      <w:r>
        <w:rPr>
          <w:highlight w:val="none"/>
        </w:rPr>
        <w:fldChar w:fldCharType="begin"/>
      </w:r>
      <w:r>
        <w:rPr>
          <w:highlight w:val="none"/>
        </w:rPr>
        <w:instrText xml:space="preserve"> PAGEREF _Toc14641 \h </w:instrText>
      </w:r>
      <w:r>
        <w:rPr>
          <w:highlight w:val="none"/>
        </w:rPr>
        <w:fldChar w:fldCharType="separate"/>
      </w:r>
      <w:r>
        <w:rPr>
          <w:highlight w:val="none"/>
        </w:rPr>
        <w:t>55</w:t>
      </w:r>
      <w:r>
        <w:rPr>
          <w:highlight w:val="none"/>
        </w:rPr>
        <w:fldChar w:fldCharType="end"/>
      </w:r>
      <w:r>
        <w:rPr>
          <w:rFonts w:hint="eastAsia" w:ascii="宋体" w:hAnsi="宋体" w:eastAsia="宋体" w:cs="宋体"/>
          <w:color w:val="auto"/>
          <w:szCs w:val="36"/>
          <w:highlight w:val="none"/>
        </w:rPr>
        <w:fldChar w:fldCharType="end"/>
      </w:r>
    </w:p>
    <w:p w14:paraId="45511231">
      <w:pPr>
        <w:pStyle w:val="47"/>
        <w:tabs>
          <w:tab w:val="right" w:leader="dot" w:pos="9660"/>
          <w:tab w:val="clear" w:pos="9450"/>
        </w:tabs>
        <w:rPr>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_Toc5065 </w:instrText>
      </w:r>
      <w:r>
        <w:rPr>
          <w:rFonts w:hint="eastAsia" w:ascii="宋体" w:hAnsi="宋体" w:eastAsia="宋体" w:cs="宋体"/>
          <w:szCs w:val="36"/>
          <w:highlight w:val="none"/>
        </w:rPr>
        <w:fldChar w:fldCharType="separate"/>
      </w:r>
      <w:r>
        <w:rPr>
          <w:rFonts w:hint="eastAsia" w:ascii="宋体" w:hAnsi="宋体" w:eastAsia="宋体" w:cs="宋体"/>
          <w:highlight w:val="none"/>
        </w:rPr>
        <w:t>附件1</w:t>
      </w:r>
      <w:r>
        <w:rPr>
          <w:rFonts w:hint="eastAsia" w:ascii="宋体" w:hAnsi="宋体" w:eastAsia="宋体" w:cs="宋体"/>
          <w:highlight w:val="none"/>
          <w:lang w:val="en-US" w:eastAsia="zh-CN"/>
        </w:rPr>
        <w:t>5供应商与其他单位存在直接控股、管理关系情况表</w:t>
      </w:r>
      <w:r>
        <w:rPr>
          <w:highlight w:val="none"/>
        </w:rPr>
        <w:tab/>
      </w:r>
      <w:r>
        <w:rPr>
          <w:highlight w:val="none"/>
        </w:rPr>
        <w:fldChar w:fldCharType="begin"/>
      </w:r>
      <w:r>
        <w:rPr>
          <w:highlight w:val="none"/>
        </w:rPr>
        <w:instrText xml:space="preserve"> PAGEREF _Toc5065 \h </w:instrText>
      </w:r>
      <w:r>
        <w:rPr>
          <w:highlight w:val="none"/>
        </w:rPr>
        <w:fldChar w:fldCharType="separate"/>
      </w:r>
      <w:r>
        <w:rPr>
          <w:highlight w:val="none"/>
        </w:rPr>
        <w:t>56</w:t>
      </w:r>
      <w:r>
        <w:rPr>
          <w:highlight w:val="none"/>
        </w:rPr>
        <w:fldChar w:fldCharType="end"/>
      </w:r>
      <w:r>
        <w:rPr>
          <w:rFonts w:hint="eastAsia" w:ascii="宋体" w:hAnsi="宋体" w:eastAsia="宋体" w:cs="宋体"/>
          <w:color w:val="auto"/>
          <w:szCs w:val="36"/>
          <w:highlight w:val="none"/>
        </w:rPr>
        <w:fldChar w:fldCharType="end"/>
      </w:r>
    </w:p>
    <w:p w14:paraId="47D64020">
      <w:pPr>
        <w:pStyle w:val="2"/>
        <w:rPr>
          <w:rFonts w:hint="eastAsia" w:ascii="宋体" w:hAnsi="宋体" w:eastAsia="宋体" w:cs="宋体"/>
          <w:color w:val="auto"/>
          <w:szCs w:val="36"/>
          <w:highlight w:val="none"/>
        </w:rPr>
        <w:sectPr>
          <w:footerReference r:id="rId9" w:type="first"/>
          <w:footerReference r:id="rId8" w:type="default"/>
          <w:pgSz w:w="11907" w:h="16840"/>
          <w:pgMar w:top="1134" w:right="882" w:bottom="1134" w:left="1365" w:header="567" w:footer="794" w:gutter="0"/>
          <w:cols w:space="720" w:num="1"/>
          <w:titlePg/>
          <w:docGrid w:type="lines" w:linePitch="305" w:charSpace="0"/>
        </w:sectPr>
      </w:pPr>
      <w:r>
        <w:rPr>
          <w:rFonts w:hint="eastAsia" w:ascii="宋体" w:hAnsi="宋体" w:eastAsia="宋体" w:cs="宋体"/>
          <w:color w:val="auto"/>
          <w:szCs w:val="36"/>
          <w:highlight w:val="none"/>
        </w:rPr>
        <w:fldChar w:fldCharType="end"/>
      </w:r>
      <w:bookmarkStart w:id="1" w:name="_Toc315875312"/>
      <w:bookmarkStart w:id="2" w:name="_Toc315868049"/>
    </w:p>
    <w:p w14:paraId="36D8CC49">
      <w:pPr>
        <w:pStyle w:val="2"/>
        <w:rPr>
          <w:rFonts w:hint="eastAsia" w:ascii="宋体" w:hAnsi="宋体" w:eastAsia="宋体" w:cs="宋体"/>
          <w:color w:val="auto"/>
          <w:highlight w:val="none"/>
        </w:rPr>
      </w:pPr>
      <w:bookmarkStart w:id="3" w:name="_Toc12021"/>
      <w:r>
        <w:rPr>
          <w:rFonts w:hint="eastAsia" w:ascii="宋体" w:hAnsi="宋体" w:eastAsia="宋体" w:cs="宋体"/>
          <w:color w:val="auto"/>
          <w:highlight w:val="none"/>
        </w:rPr>
        <w:t>第一章 投标邀请</w:t>
      </w:r>
      <w:bookmarkEnd w:id="0"/>
      <w:bookmarkEnd w:id="1"/>
      <w:bookmarkEnd w:id="2"/>
      <w:bookmarkEnd w:id="3"/>
    </w:p>
    <w:p w14:paraId="6B02A9CD">
      <w:pPr>
        <w:widowControl/>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受</w:t>
      </w:r>
      <w:r>
        <w:rPr>
          <w:rFonts w:hint="eastAsia" w:ascii="宋体" w:hAnsi="宋体" w:eastAsia="宋体" w:cs="宋体"/>
          <w:color w:val="auto"/>
          <w:sz w:val="24"/>
          <w:szCs w:val="24"/>
          <w:highlight w:val="none"/>
          <w:lang w:eastAsia="zh-CN"/>
        </w:rPr>
        <w:t>常熟市古里镇人民政府</w:t>
      </w:r>
      <w:r>
        <w:rPr>
          <w:rFonts w:hint="eastAsia" w:ascii="宋体" w:hAnsi="宋体" w:eastAsia="宋体" w:cs="宋体"/>
          <w:color w:val="auto"/>
          <w:sz w:val="24"/>
          <w:szCs w:val="24"/>
          <w:highlight w:val="none"/>
        </w:rPr>
        <w:t>的委托，涵熙（苏州）工程顾问有限公司就</w:t>
      </w:r>
      <w:r>
        <w:rPr>
          <w:rFonts w:hint="eastAsia" w:ascii="宋体" w:hAnsi="宋体" w:eastAsia="宋体" w:cs="宋体"/>
          <w:color w:val="auto"/>
          <w:sz w:val="24"/>
          <w:szCs w:val="24"/>
          <w:highlight w:val="none"/>
          <w:lang w:eastAsia="zh-CN"/>
        </w:rPr>
        <w:t>2026年古里镇雨污水管网养护及零星维修项目</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JSZC-320581-HXGW-G2025-0077</w:t>
      </w:r>
      <w:r>
        <w:rPr>
          <w:rFonts w:hint="eastAsia" w:ascii="宋体" w:hAnsi="宋体" w:eastAsia="宋体" w:cs="宋体"/>
          <w:color w:val="auto"/>
          <w:sz w:val="24"/>
          <w:szCs w:val="24"/>
          <w:highlight w:val="none"/>
        </w:rPr>
        <w:t>）项目进行公开招标采购，欢迎符合条件的供应商投标。</w:t>
      </w:r>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76"/>
      </w:tblGrid>
      <w:tr w14:paraId="23B8B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4" w:hRule="atLeast"/>
        </w:trPr>
        <w:tc>
          <w:tcPr>
            <w:tcW w:w="9876" w:type="dxa"/>
          </w:tcPr>
          <w:p w14:paraId="61D42B3F">
            <w:pPr>
              <w:spacing w:line="440" w:lineRule="exact"/>
              <w:jc w:val="left"/>
              <w:rPr>
                <w:rFonts w:hint="eastAsia" w:ascii="宋体" w:hAnsi="宋体" w:eastAsia="宋体" w:cs="宋体"/>
                <w:color w:val="auto"/>
                <w:sz w:val="24"/>
                <w:szCs w:val="24"/>
                <w:highlight w:val="none"/>
              </w:rPr>
            </w:pPr>
            <w:bookmarkStart w:id="4" w:name="OLE_LINK1"/>
            <w:r>
              <w:rPr>
                <w:rFonts w:hint="eastAsia" w:ascii="宋体" w:hAnsi="宋体" w:eastAsia="宋体" w:cs="宋体"/>
                <w:color w:val="auto"/>
                <w:sz w:val="24"/>
                <w:szCs w:val="24"/>
                <w:highlight w:val="none"/>
              </w:rPr>
              <w:t>项目概况：</w:t>
            </w:r>
          </w:p>
          <w:p w14:paraId="01802775">
            <w:pPr>
              <w:spacing w:line="44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eastAsia="zh-CN"/>
              </w:rPr>
              <w:t>2026年古里镇雨污水管网养护及零星维修项目</w:t>
            </w:r>
            <w:r>
              <w:rPr>
                <w:rFonts w:hint="eastAsia" w:ascii="宋体" w:hAnsi="宋体" w:eastAsia="宋体" w:cs="宋体"/>
                <w:color w:val="auto"/>
                <w:sz w:val="24"/>
                <w:szCs w:val="24"/>
                <w:highlight w:val="none"/>
              </w:rPr>
              <w:t>的潜在供应商应在“苏采云政府采购一体化平台”中参与项目获取招标文件，并于</w:t>
            </w:r>
            <w:r>
              <w:rPr>
                <w:rFonts w:hint="eastAsia" w:ascii="宋体" w:hAnsi="宋体" w:eastAsia="宋体" w:cs="宋体"/>
                <w:color w:val="auto"/>
                <w:sz w:val="24"/>
                <w:szCs w:val="24"/>
                <w:highlight w:val="none"/>
                <w:u w:val="single"/>
              </w:rPr>
              <w:t>202</w:t>
            </w:r>
            <w:r>
              <w:rPr>
                <w:rFonts w:hint="eastAsia" w:ascii="宋体" w:hAnsi="宋体" w:cs="宋体"/>
                <w:color w:val="auto"/>
                <w:sz w:val="24"/>
                <w:szCs w:val="24"/>
                <w:highlight w:val="none"/>
                <w:u w:val="single"/>
                <w:lang w:val="en-US" w:eastAsia="zh-CN"/>
              </w:rPr>
              <w:t>6</w:t>
            </w:r>
            <w:r>
              <w:rPr>
                <w:rFonts w:hint="eastAsia" w:ascii="宋体" w:hAnsi="宋体" w:eastAsia="宋体" w:cs="宋体"/>
                <w:color w:val="auto"/>
                <w:sz w:val="24"/>
                <w:szCs w:val="24"/>
                <w:highlight w:val="none"/>
                <w:u w:val="single"/>
              </w:rPr>
              <w:t>年</w:t>
            </w:r>
            <w:r>
              <w:rPr>
                <w:rFonts w:hint="eastAsia" w:ascii="宋体" w:hAnsi="宋体" w:cs="宋体"/>
                <w:color w:val="auto"/>
                <w:sz w:val="24"/>
                <w:szCs w:val="24"/>
                <w:highlight w:val="none"/>
                <w:u w:val="single"/>
                <w:lang w:val="en-US" w:eastAsia="zh-CN"/>
              </w:rPr>
              <w:t>1</w:t>
            </w:r>
            <w:r>
              <w:rPr>
                <w:rFonts w:hint="eastAsia" w:ascii="宋体" w:hAnsi="宋体" w:eastAsia="宋体" w:cs="宋体"/>
                <w:color w:val="auto"/>
                <w:sz w:val="24"/>
                <w:szCs w:val="24"/>
                <w:highlight w:val="none"/>
                <w:u w:val="single"/>
              </w:rPr>
              <w:t>月</w:t>
            </w:r>
            <w:r>
              <w:rPr>
                <w:rFonts w:hint="eastAsia" w:ascii="宋体" w:hAnsi="宋体" w:cs="宋体"/>
                <w:color w:val="auto"/>
                <w:sz w:val="24"/>
                <w:szCs w:val="24"/>
                <w:highlight w:val="none"/>
                <w:u w:val="single"/>
                <w:lang w:val="en-US" w:eastAsia="zh-CN"/>
              </w:rPr>
              <w:t>7</w:t>
            </w:r>
            <w:r>
              <w:rPr>
                <w:rFonts w:hint="eastAsia" w:ascii="宋体" w:hAnsi="宋体" w:eastAsia="宋体" w:cs="宋体"/>
                <w:color w:val="auto"/>
                <w:sz w:val="24"/>
                <w:szCs w:val="24"/>
                <w:highlight w:val="none"/>
                <w:u w:val="single"/>
              </w:rPr>
              <w:t>日</w:t>
            </w:r>
            <w:r>
              <w:rPr>
                <w:rFonts w:hint="eastAsia" w:ascii="宋体" w:hAnsi="宋体" w:cs="宋体"/>
                <w:color w:val="auto"/>
                <w:sz w:val="24"/>
                <w:szCs w:val="24"/>
                <w:highlight w:val="none"/>
                <w:u w:val="single"/>
                <w:lang w:val="en-US" w:eastAsia="zh-CN"/>
              </w:rPr>
              <w:t>9</w:t>
            </w:r>
            <w:r>
              <w:rPr>
                <w:rFonts w:hint="eastAsia" w:ascii="宋体" w:hAnsi="宋体" w:eastAsia="宋体" w:cs="宋体"/>
                <w:color w:val="auto"/>
                <w:sz w:val="24"/>
                <w:szCs w:val="24"/>
                <w:highlight w:val="none"/>
                <w:u w:val="single"/>
              </w:rPr>
              <w:t>点</w:t>
            </w:r>
            <w:r>
              <w:rPr>
                <w:rFonts w:hint="eastAsia" w:ascii="宋体" w:hAnsi="宋体" w:cs="宋体"/>
                <w:color w:val="auto"/>
                <w:sz w:val="24"/>
                <w:szCs w:val="24"/>
                <w:highlight w:val="none"/>
                <w:u w:val="single"/>
                <w:lang w:val="en-US" w:eastAsia="zh-CN"/>
              </w:rPr>
              <w:t>00</w:t>
            </w:r>
            <w:r>
              <w:rPr>
                <w:rFonts w:hint="eastAsia" w:ascii="宋体" w:hAnsi="宋体" w:eastAsia="宋体" w:cs="宋体"/>
                <w:color w:val="auto"/>
                <w:sz w:val="24"/>
                <w:szCs w:val="24"/>
                <w:highlight w:val="none"/>
                <w:u w:val="single"/>
              </w:rPr>
              <w:t>分</w:t>
            </w:r>
            <w:r>
              <w:rPr>
                <w:rFonts w:hint="eastAsia" w:ascii="宋体" w:hAnsi="宋体" w:eastAsia="宋体" w:cs="宋体"/>
                <w:color w:val="auto"/>
                <w:sz w:val="24"/>
                <w:szCs w:val="24"/>
                <w:highlight w:val="none"/>
              </w:rPr>
              <w:t>（北京时间）前按规定提交投标文件。</w:t>
            </w:r>
          </w:p>
        </w:tc>
      </w:tr>
    </w:tbl>
    <w:p w14:paraId="6B4179F0">
      <w:pPr>
        <w:spacing w:line="4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一、项目基本情况</w:t>
      </w:r>
    </w:p>
    <w:p w14:paraId="7452ED61">
      <w:pPr>
        <w:spacing w:line="44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项目编号：</w:t>
      </w:r>
      <w:r>
        <w:rPr>
          <w:rFonts w:hint="eastAsia" w:ascii="宋体" w:hAnsi="宋体" w:cs="宋体"/>
          <w:color w:val="auto"/>
          <w:sz w:val="24"/>
          <w:szCs w:val="24"/>
          <w:highlight w:val="none"/>
          <w:lang w:eastAsia="zh-CN"/>
        </w:rPr>
        <w:t>JSZC-320581-HXGW-G2025-0077</w:t>
      </w:r>
    </w:p>
    <w:p w14:paraId="7D72228C">
      <w:pPr>
        <w:spacing w:line="44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lang w:eastAsia="zh-CN"/>
        </w:rPr>
        <w:t>2026年古里镇雨污水管网养护及零星维修项目</w:t>
      </w:r>
    </w:p>
    <w:p w14:paraId="5DD349F0">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采购方式：公开招标</w:t>
      </w:r>
    </w:p>
    <w:p w14:paraId="64386485">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预算金额：¥</w:t>
      </w:r>
      <w:r>
        <w:rPr>
          <w:rFonts w:hint="eastAsia" w:ascii="宋体" w:hAnsi="宋体" w:eastAsia="宋体" w:cs="宋体"/>
          <w:color w:val="auto"/>
          <w:sz w:val="24"/>
          <w:szCs w:val="24"/>
          <w:highlight w:val="none"/>
          <w:lang w:val="en-US" w:eastAsia="zh-CN"/>
        </w:rPr>
        <w:t>1800000</w:t>
      </w:r>
      <w:r>
        <w:rPr>
          <w:rFonts w:hint="eastAsia" w:ascii="宋体" w:hAnsi="宋体" w:eastAsia="宋体" w:cs="宋体"/>
          <w:color w:val="auto"/>
          <w:sz w:val="24"/>
          <w:szCs w:val="24"/>
          <w:highlight w:val="none"/>
        </w:rPr>
        <w:t>.00元（人民币壹佰</w:t>
      </w:r>
      <w:r>
        <w:rPr>
          <w:rFonts w:hint="eastAsia" w:ascii="宋体" w:hAnsi="宋体" w:eastAsia="宋体" w:cs="宋体"/>
          <w:color w:val="auto"/>
          <w:sz w:val="24"/>
          <w:szCs w:val="24"/>
          <w:highlight w:val="none"/>
          <w:lang w:val="en-US" w:eastAsia="zh-CN"/>
        </w:rPr>
        <w:t>捌拾</w:t>
      </w:r>
      <w:r>
        <w:rPr>
          <w:rFonts w:hint="eastAsia" w:ascii="宋体" w:hAnsi="宋体" w:eastAsia="宋体" w:cs="宋体"/>
          <w:color w:val="auto"/>
          <w:sz w:val="24"/>
          <w:szCs w:val="24"/>
          <w:highlight w:val="none"/>
        </w:rPr>
        <w:t>万元整）</w:t>
      </w:r>
    </w:p>
    <w:p w14:paraId="6F7FBD22">
      <w:pPr>
        <w:spacing w:line="440" w:lineRule="exact"/>
        <w:ind w:firstLine="480" w:firstLineChars="200"/>
        <w:rPr>
          <w:rFonts w:hint="eastAsia" w:ascii="宋体" w:hAnsi="宋体" w:eastAsia="宋体" w:cs="宋体"/>
          <w:color w:val="auto"/>
          <w:sz w:val="24"/>
          <w:szCs w:val="24"/>
          <w:highlight w:val="none"/>
        </w:rPr>
      </w:pPr>
      <w:bookmarkStart w:id="5" w:name="_Toc28359003"/>
      <w:bookmarkStart w:id="6" w:name="_Toc35393622"/>
      <w:bookmarkStart w:id="7" w:name="_Toc28359080"/>
      <w:bookmarkStart w:id="8" w:name="_Toc35393791"/>
      <w:r>
        <w:rPr>
          <w:rFonts w:hint="eastAsia" w:ascii="宋体" w:hAnsi="宋体" w:eastAsia="宋体" w:cs="宋体"/>
          <w:color w:val="auto"/>
          <w:sz w:val="24"/>
          <w:szCs w:val="24"/>
          <w:highlight w:val="none"/>
        </w:rPr>
        <w:t>采购需求：本项目采购内容为</w:t>
      </w:r>
      <w:r>
        <w:rPr>
          <w:rFonts w:hint="eastAsia" w:ascii="宋体" w:hAnsi="宋体" w:eastAsia="宋体" w:cs="宋体"/>
          <w:color w:val="auto"/>
          <w:sz w:val="24"/>
          <w:szCs w:val="24"/>
          <w:highlight w:val="none"/>
          <w:lang w:eastAsia="zh-CN"/>
        </w:rPr>
        <w:t>常熟市古里镇人民政府</w:t>
      </w:r>
      <w:r>
        <w:rPr>
          <w:rFonts w:hint="eastAsia" w:ascii="宋体" w:hAnsi="宋体" w:eastAsia="宋体" w:cs="宋体"/>
          <w:color w:val="auto"/>
          <w:sz w:val="24"/>
          <w:szCs w:val="24"/>
          <w:highlight w:val="none"/>
        </w:rPr>
        <w:t>所需的</w:t>
      </w:r>
      <w:r>
        <w:rPr>
          <w:rFonts w:hint="eastAsia" w:ascii="宋体" w:hAnsi="宋体" w:eastAsia="宋体" w:cs="宋体"/>
          <w:color w:val="auto"/>
          <w:sz w:val="24"/>
          <w:szCs w:val="24"/>
          <w:highlight w:val="none"/>
          <w:lang w:eastAsia="zh-CN"/>
        </w:rPr>
        <w:t>2026年古里镇雨污水管网养护及零星维修项目</w:t>
      </w:r>
      <w:r>
        <w:rPr>
          <w:rFonts w:hint="eastAsia" w:ascii="宋体" w:hAnsi="宋体" w:eastAsia="宋体" w:cs="宋体"/>
          <w:color w:val="auto"/>
          <w:sz w:val="24"/>
          <w:szCs w:val="24"/>
          <w:highlight w:val="none"/>
        </w:rPr>
        <w:t>。</w:t>
      </w:r>
    </w:p>
    <w:p w14:paraId="29DE13AA">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合同履行期限：自合同签订之日起一年。</w:t>
      </w:r>
    </w:p>
    <w:p w14:paraId="08581887">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本项目不接受联合体。</w:t>
      </w:r>
    </w:p>
    <w:p w14:paraId="058F5384">
      <w:pPr>
        <w:spacing w:line="4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二、申请人的资格要求：</w:t>
      </w:r>
      <w:bookmarkEnd w:id="5"/>
      <w:bookmarkEnd w:id="6"/>
      <w:bookmarkEnd w:id="7"/>
      <w:bookmarkEnd w:id="8"/>
    </w:p>
    <w:p w14:paraId="43A85777">
      <w:pPr>
        <w:spacing w:line="440" w:lineRule="exact"/>
        <w:ind w:firstLine="480" w:firstLineChars="200"/>
        <w:rPr>
          <w:rFonts w:hint="eastAsia" w:ascii="宋体" w:hAnsi="宋体" w:cs="宋体"/>
          <w:color w:val="auto"/>
          <w:sz w:val="24"/>
          <w:szCs w:val="24"/>
          <w:highlight w:val="none"/>
          <w:lang w:eastAsia="zh-CN"/>
        </w:rPr>
      </w:pPr>
      <w:bookmarkStart w:id="9" w:name="_Toc28359008"/>
      <w:bookmarkStart w:id="10" w:name="_Toc35393627"/>
      <w:bookmarkStart w:id="11" w:name="_Toc28359085"/>
      <w:bookmarkStart w:id="12" w:name="_Toc35393796"/>
      <w:r>
        <w:rPr>
          <w:rFonts w:hint="eastAsia" w:ascii="宋体" w:hAnsi="宋体" w:eastAsia="宋体" w:cs="宋体"/>
          <w:color w:val="auto"/>
          <w:sz w:val="24"/>
          <w:szCs w:val="24"/>
          <w:highlight w:val="none"/>
        </w:rPr>
        <w:t>1、满足《中华人民共和国政府采购法》第二十二条规定</w:t>
      </w:r>
      <w:r>
        <w:rPr>
          <w:rFonts w:hint="eastAsia" w:ascii="宋体" w:hAnsi="宋体" w:cs="宋体"/>
          <w:color w:val="auto"/>
          <w:sz w:val="24"/>
          <w:szCs w:val="24"/>
          <w:highlight w:val="none"/>
          <w:lang w:eastAsia="zh-CN"/>
        </w:rPr>
        <w:t>：</w:t>
      </w:r>
    </w:p>
    <w:p w14:paraId="2908A608">
      <w:pPr>
        <w:spacing w:line="440" w:lineRule="exact"/>
        <w:ind w:firstLine="720" w:firstLineChars="3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具有独立承担民事责任的能力。</w:t>
      </w:r>
    </w:p>
    <w:p w14:paraId="7AED5D9E">
      <w:pPr>
        <w:spacing w:line="440" w:lineRule="exact"/>
        <w:ind w:firstLine="720" w:firstLineChars="3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具有良好的商业信誉和健全的财务会计制度。</w:t>
      </w:r>
    </w:p>
    <w:p w14:paraId="46DC165C">
      <w:pPr>
        <w:spacing w:line="440" w:lineRule="exact"/>
        <w:ind w:firstLine="720" w:firstLineChars="3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具有履行合同所必需的设备和专业技术能力。</w:t>
      </w:r>
    </w:p>
    <w:p w14:paraId="597BC610">
      <w:pPr>
        <w:spacing w:line="440" w:lineRule="exact"/>
        <w:ind w:firstLine="720" w:firstLineChars="3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有依法缴纳税收和社会保障资金的良好记录。</w:t>
      </w:r>
    </w:p>
    <w:p w14:paraId="4BDF05A2">
      <w:pPr>
        <w:spacing w:line="440" w:lineRule="exact"/>
        <w:ind w:firstLine="720" w:firstLineChars="3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参加采购活动前三年内，在经营活动中没有重大违法记录。</w:t>
      </w:r>
    </w:p>
    <w:p w14:paraId="3D6D59FB">
      <w:pPr>
        <w:spacing w:line="440" w:lineRule="exact"/>
        <w:ind w:firstLine="720" w:firstLineChars="300"/>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法律、行政法规规定的其他条件。</w:t>
      </w:r>
    </w:p>
    <w:p w14:paraId="02446E0C">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2、落实政府采购政策需满足的资格要求：</w:t>
      </w:r>
    </w:p>
    <w:p w14:paraId="0C1431A7">
      <w:pPr>
        <w:spacing w:line="44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本项目专门面向中小企业采购，所属行业为其他未列明行业，投标时须提供《中小企业声明函》。</w:t>
      </w:r>
    </w:p>
    <w:p w14:paraId="42978B29">
      <w:pPr>
        <w:spacing w:line="44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注：对残疾人福利性单位、监狱企业视同小型、微型企业，但须按要求提供有关声明函或证明文件。</w:t>
      </w:r>
    </w:p>
    <w:p w14:paraId="00D431D2">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3、本项目的特定资格要求：无。</w:t>
      </w:r>
    </w:p>
    <w:p w14:paraId="0BF04E05">
      <w:pPr>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三、获取招标文件：</w:t>
      </w:r>
    </w:p>
    <w:p w14:paraId="3AEC8CDB">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时间：自招标文件公告发布之日起5个工作日。</w:t>
      </w:r>
    </w:p>
    <w:p w14:paraId="37E90F2E">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方式：在“苏采云政府采购一体化平台”自行免费下载招标文件。</w:t>
      </w:r>
    </w:p>
    <w:p w14:paraId="20CF3DDF">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参与采购活动：供应商进入苏州市政府采购网，点击网站首页底部苏采云图标，插入CA证书登陆“苏采云”系统后选择具体项目，点击“我要参与”并签章提交《投标供应商确认函》，提交《投标供应商确认函》日期视同为依法获取招标文件日期。对《投标供应商确认函》供应商应予打印保留。</w:t>
      </w:r>
    </w:p>
    <w:p w14:paraId="3EE5A0B0">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电子投标准备：供应商在“苏采云”系统中操作成功参与项目后，必须在“已参与项目”界面中下载电子招标文件（后缀名为“.kedt”）并导入政府采购客户端工具后方可进行电子投标文件的制作和提交（具体详见《苏采云系统供应商操作手册》，网址链接https://czju.suzhou.gov.cn/zfcg/html/content/20231220161910031.shtml）。</w:t>
      </w:r>
    </w:p>
    <w:p w14:paraId="4D875C31">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售价：免费。</w:t>
      </w:r>
    </w:p>
    <w:p w14:paraId="2B098D56">
      <w:pPr>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四、提交投标文件截止时间、开标时间和地点：</w:t>
      </w:r>
    </w:p>
    <w:p w14:paraId="7299E59F">
      <w:pPr>
        <w:widowControl/>
        <w:spacing w:line="44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202</w:t>
      </w:r>
      <w:r>
        <w:rPr>
          <w:rFonts w:hint="eastAsia" w:ascii="宋体" w:hAnsi="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rPr>
        <w:t>年</w:t>
      </w:r>
      <w:r>
        <w:rPr>
          <w:rFonts w:hint="eastAsia" w:ascii="宋体" w:hAnsi="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rPr>
        <w:t>月</w:t>
      </w:r>
      <w:r>
        <w:rPr>
          <w:rFonts w:hint="eastAsia" w:ascii="宋体" w:hAnsi="宋体" w:cs="宋体"/>
          <w:color w:val="auto"/>
          <w:kern w:val="0"/>
          <w:sz w:val="24"/>
          <w:szCs w:val="24"/>
          <w:highlight w:val="none"/>
          <w:lang w:val="en-US" w:eastAsia="zh-CN"/>
        </w:rPr>
        <w:t>7</w:t>
      </w:r>
      <w:r>
        <w:rPr>
          <w:rFonts w:hint="eastAsia" w:ascii="宋体" w:hAnsi="宋体" w:eastAsia="宋体" w:cs="宋体"/>
          <w:color w:val="auto"/>
          <w:kern w:val="0"/>
          <w:sz w:val="24"/>
          <w:szCs w:val="24"/>
          <w:highlight w:val="none"/>
        </w:rPr>
        <w:t>日</w:t>
      </w:r>
      <w:r>
        <w:rPr>
          <w:rFonts w:hint="eastAsia" w:ascii="宋体" w:hAnsi="宋体" w:cs="宋体"/>
          <w:color w:val="auto"/>
          <w:kern w:val="0"/>
          <w:sz w:val="24"/>
          <w:szCs w:val="24"/>
          <w:highlight w:val="none"/>
          <w:lang w:val="en-US" w:eastAsia="zh-CN"/>
        </w:rPr>
        <w:t>9</w:t>
      </w:r>
      <w:r>
        <w:rPr>
          <w:rFonts w:hint="eastAsia" w:ascii="宋体" w:hAnsi="宋体" w:eastAsia="宋体" w:cs="宋体"/>
          <w:color w:val="auto"/>
          <w:kern w:val="0"/>
          <w:sz w:val="24"/>
          <w:szCs w:val="24"/>
          <w:highlight w:val="none"/>
        </w:rPr>
        <w:t>点</w:t>
      </w:r>
      <w:r>
        <w:rPr>
          <w:rFonts w:hint="eastAsia" w:ascii="宋体" w:hAnsi="宋体" w:cs="宋体"/>
          <w:color w:val="auto"/>
          <w:kern w:val="0"/>
          <w:sz w:val="24"/>
          <w:szCs w:val="24"/>
          <w:highlight w:val="none"/>
          <w:lang w:val="en-US" w:eastAsia="zh-CN"/>
        </w:rPr>
        <w:t>00</w:t>
      </w:r>
      <w:r>
        <w:rPr>
          <w:rFonts w:hint="eastAsia" w:ascii="宋体" w:hAnsi="宋体" w:eastAsia="宋体" w:cs="宋体"/>
          <w:color w:val="auto"/>
          <w:kern w:val="0"/>
          <w:sz w:val="24"/>
          <w:szCs w:val="24"/>
          <w:highlight w:val="none"/>
        </w:rPr>
        <w:t>分（北京时间）</w:t>
      </w:r>
    </w:p>
    <w:p w14:paraId="51D97C83">
      <w:pPr>
        <w:widowControl/>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本项目采用电子化采购形式，供应商应当按照《苏采云系统供应商操作手册》规定，须在投标截止时间前制作并上传电子投标文件至“苏采云”系统，否则视为放弃参加该采购项目。</w:t>
      </w:r>
    </w:p>
    <w:p w14:paraId="630AD0B0">
      <w:pPr>
        <w:widowControl/>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本项目采用不见面开标，供应商登录“苏采云”系统在平台首页点击“开标大厅”，进入江苏省政府采购一体化不见面开标（采购）大厅，选择对应项目，并按系统提示完成开标流程。</w:t>
      </w:r>
    </w:p>
    <w:p w14:paraId="5D8E10D0">
      <w:pPr>
        <w:widowControl/>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开标地点：苏采云系统网上开标大厅</w:t>
      </w:r>
    </w:p>
    <w:p w14:paraId="5559EDFB">
      <w:pPr>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五、</w:t>
      </w:r>
      <w:bookmarkEnd w:id="4"/>
      <w:bookmarkEnd w:id="9"/>
      <w:bookmarkEnd w:id="10"/>
      <w:bookmarkEnd w:id="11"/>
      <w:bookmarkEnd w:id="12"/>
      <w:r>
        <w:rPr>
          <w:rFonts w:hint="eastAsia" w:ascii="宋体" w:hAnsi="宋体" w:eastAsia="宋体" w:cs="宋体"/>
          <w:b/>
          <w:color w:val="auto"/>
          <w:sz w:val="24"/>
          <w:szCs w:val="24"/>
          <w:highlight w:val="none"/>
        </w:rPr>
        <w:t>公告期限：</w:t>
      </w:r>
    </w:p>
    <w:p w14:paraId="4D5F09B8">
      <w:pPr>
        <w:widowControl/>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自本公告发布之日起5个工作日。</w:t>
      </w:r>
    </w:p>
    <w:p w14:paraId="10D9AA0D">
      <w:pPr>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六、其他补充事宜：</w:t>
      </w:r>
    </w:p>
    <w:p w14:paraId="2CF22311">
      <w:pPr>
        <w:spacing w:line="440" w:lineRule="exact"/>
        <w:ind w:firstLine="480" w:firstLineChars="20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1、根据省财政厅《关于更换全省政府采购交易系统C A数字证书和电子签章的通知》（苏财购〔2023〕101号），“苏采云”系统目前支持的CA数字证书、电子签章为江苏省电子政务证书认证中心CA和方正国际软件（北京）有限公司电子签章。供应商参与本项目采购活动需办理、使用上述CA证书和电子签章，具体办理方法请访问“苏采云”系统登录页面（http://jszfcg.jscz.gov.cn/jszc/login）点击“新CA办理指南”进行查阅，江苏省内各地区办理的“苏采云”系统下的政务CA证书全省通用。</w:t>
      </w:r>
    </w:p>
    <w:p w14:paraId="4BC83508">
      <w:pPr>
        <w:spacing w:line="440" w:lineRule="exact"/>
        <w:ind w:firstLine="480" w:firstLineChars="20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2、供应商在“苏采云”系统操作过程中如有疑问，请按以下方式联系：</w:t>
      </w:r>
    </w:p>
    <w:p w14:paraId="58987939">
      <w:pPr>
        <w:spacing w:line="440" w:lineRule="exact"/>
        <w:ind w:firstLine="480" w:firstLineChars="20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CA技术咨询电话：400-608-6099；电子签章技术咨询电话：15380932027、15371015030、13675197356、13675197221；系统使用指导与咨询电话：13914088964、18261002950，0519-86722802。</w:t>
      </w:r>
    </w:p>
    <w:p w14:paraId="4A02CDB0">
      <w:pPr>
        <w:spacing w:line="440" w:lineRule="exact"/>
        <w:ind w:firstLine="480" w:firstLineChars="20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3、有关本次采购的事项若存在变动或修改，敬请及时关注“苏州市政府采购网”发布的更正公告</w:t>
      </w:r>
      <w:bookmarkStart w:id="13" w:name="_Hlk87882297"/>
      <w:r>
        <w:rPr>
          <w:rFonts w:hint="eastAsia" w:ascii="宋体" w:hAnsi="宋体" w:eastAsia="宋体" w:cs="宋体"/>
          <w:color w:val="auto"/>
          <w:sz w:val="24"/>
          <w:szCs w:val="32"/>
          <w:highlight w:val="none"/>
        </w:rPr>
        <w:t>，并按规定获取相关信息内容。</w:t>
      </w:r>
      <w:bookmarkEnd w:id="13"/>
    </w:p>
    <w:p w14:paraId="6A720285">
      <w:pPr>
        <w:spacing w:line="440" w:lineRule="exact"/>
        <w:ind w:firstLine="480" w:firstLineChars="20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4、本次采购项目有关时间要求均以北京时间为标准，使用24小时制。</w:t>
      </w:r>
    </w:p>
    <w:p w14:paraId="7CEE0F35">
      <w:pPr>
        <w:spacing w:line="440" w:lineRule="exact"/>
        <w:ind w:firstLine="480" w:firstLineChars="20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5、公告媒体：</w:t>
      </w:r>
      <w:r>
        <w:rPr>
          <w:rFonts w:hint="eastAsia" w:ascii="宋体" w:hAnsi="宋体" w:eastAsia="宋体" w:cs="宋体"/>
          <w:color w:val="auto"/>
          <w:sz w:val="24"/>
          <w:highlight w:val="none"/>
        </w:rPr>
        <w:t>苏州市政府采购网、江苏政府采购网</w:t>
      </w:r>
      <w:r>
        <w:rPr>
          <w:rFonts w:hint="eastAsia" w:ascii="宋体" w:hAnsi="宋体" w:eastAsia="宋体" w:cs="宋体"/>
          <w:color w:val="auto"/>
          <w:sz w:val="24"/>
          <w:szCs w:val="32"/>
          <w:highlight w:val="none"/>
        </w:rPr>
        <w:t>。</w:t>
      </w:r>
    </w:p>
    <w:p w14:paraId="1D96F1D6">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32"/>
          <w:highlight w:val="none"/>
        </w:rPr>
        <w:t>6、</w:t>
      </w:r>
      <w:r>
        <w:rPr>
          <w:rFonts w:hint="eastAsia" w:ascii="宋体" w:hAnsi="宋体" w:eastAsia="宋体" w:cs="宋体"/>
          <w:color w:val="auto"/>
          <w:sz w:val="24"/>
          <w:szCs w:val="24"/>
          <w:highlight w:val="none"/>
        </w:rPr>
        <w:t>其他要求：</w:t>
      </w:r>
    </w:p>
    <w:p w14:paraId="7FFCE586">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根据政府采购法及相关法规，将对投标人进行信用查询。投标人被列入失信被执行人或重大税收违法案件当事人名单或政府采购严重违法失信行为记录名单，以及存在其他不符合《政府采购法》第二十二条规定条件的不良信用记录，拒绝其参与政府采购活动。</w:t>
      </w:r>
    </w:p>
    <w:p w14:paraId="4D695586">
      <w:pPr>
        <w:spacing w:line="440" w:lineRule="exact"/>
        <w:ind w:firstLine="480" w:firstLineChars="200"/>
        <w:rPr>
          <w:rFonts w:hint="eastAsia" w:ascii="宋体" w:hAnsi="宋体" w:eastAsia="宋体" w:cs="宋体"/>
          <w:color w:val="auto"/>
          <w:sz w:val="24"/>
          <w:szCs w:val="32"/>
          <w:highlight w:val="none"/>
        </w:rPr>
      </w:pPr>
      <w:r>
        <w:rPr>
          <w:rFonts w:hint="eastAsia" w:ascii="宋体" w:hAnsi="宋体" w:eastAsia="宋体" w:cs="宋体"/>
          <w:color w:val="auto"/>
          <w:sz w:val="24"/>
          <w:szCs w:val="24"/>
          <w:highlight w:val="none"/>
        </w:rPr>
        <w:t>（2）单位负责人为同一人或者存在直接控股、管理关系的不同投标人，不得参加同一合同项下的政府采购活动。</w:t>
      </w:r>
    </w:p>
    <w:p w14:paraId="731771DC">
      <w:pPr>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七、凡对本次采购提出询问，请按以下方式联系。</w:t>
      </w:r>
    </w:p>
    <w:p w14:paraId="188BE489">
      <w:pPr>
        <w:spacing w:line="440" w:lineRule="exact"/>
        <w:ind w:firstLine="480" w:firstLineChars="200"/>
        <w:rPr>
          <w:rFonts w:hint="eastAsia" w:ascii="宋体" w:hAnsi="宋体" w:eastAsia="宋体" w:cs="宋体"/>
          <w:color w:val="auto"/>
          <w:sz w:val="24"/>
          <w:szCs w:val="32"/>
          <w:highlight w:val="none"/>
        </w:rPr>
      </w:pPr>
      <w:bookmarkStart w:id="14" w:name="_Toc158691766"/>
      <w:bookmarkStart w:id="15" w:name="_Toc315875313"/>
      <w:bookmarkStart w:id="16" w:name="_Toc315868050"/>
      <w:r>
        <w:rPr>
          <w:rFonts w:hint="eastAsia" w:ascii="宋体" w:hAnsi="宋体" w:eastAsia="宋体" w:cs="宋体"/>
          <w:color w:val="auto"/>
          <w:sz w:val="24"/>
          <w:szCs w:val="32"/>
          <w:highlight w:val="none"/>
        </w:rPr>
        <w:t>1、采购人信息</w:t>
      </w:r>
    </w:p>
    <w:p w14:paraId="21B9DD18">
      <w:pPr>
        <w:spacing w:line="440" w:lineRule="exact"/>
        <w:ind w:firstLine="480" w:firstLineChars="200"/>
        <w:rPr>
          <w:rFonts w:hint="eastAsia" w:ascii="宋体" w:hAnsi="宋体" w:eastAsia="宋体" w:cs="宋体"/>
          <w:color w:val="auto"/>
          <w:sz w:val="24"/>
          <w:szCs w:val="32"/>
          <w:highlight w:val="none"/>
          <w:lang w:eastAsia="zh-CN"/>
        </w:rPr>
      </w:pPr>
      <w:r>
        <w:rPr>
          <w:rFonts w:hint="eastAsia" w:ascii="宋体" w:hAnsi="宋体" w:eastAsia="宋体" w:cs="宋体"/>
          <w:color w:val="auto"/>
          <w:sz w:val="24"/>
          <w:szCs w:val="32"/>
          <w:highlight w:val="none"/>
        </w:rPr>
        <w:t>单位名称：</w:t>
      </w:r>
      <w:r>
        <w:rPr>
          <w:rFonts w:hint="eastAsia" w:ascii="宋体" w:hAnsi="宋体" w:eastAsia="宋体" w:cs="宋体"/>
          <w:color w:val="auto"/>
          <w:sz w:val="24"/>
          <w:szCs w:val="32"/>
          <w:highlight w:val="none"/>
          <w:lang w:eastAsia="zh-CN"/>
        </w:rPr>
        <w:t>常熟市古里镇人民政府</w:t>
      </w:r>
    </w:p>
    <w:p w14:paraId="5F5F0EA7">
      <w:pPr>
        <w:spacing w:line="440" w:lineRule="exact"/>
        <w:ind w:firstLine="480" w:firstLineChars="200"/>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rPr>
        <w:t>单位地址：常熟市</w:t>
      </w:r>
      <w:r>
        <w:rPr>
          <w:rFonts w:hint="eastAsia" w:ascii="宋体" w:hAnsi="宋体" w:eastAsia="宋体" w:cs="宋体"/>
          <w:color w:val="auto"/>
          <w:sz w:val="24"/>
          <w:szCs w:val="32"/>
          <w:highlight w:val="none"/>
          <w:lang w:val="en-US" w:eastAsia="zh-CN"/>
        </w:rPr>
        <w:t>古里镇</w:t>
      </w:r>
    </w:p>
    <w:p w14:paraId="5A38EB50">
      <w:pPr>
        <w:spacing w:line="440" w:lineRule="exact"/>
        <w:ind w:firstLine="480" w:firstLineChars="200"/>
        <w:rPr>
          <w:rFonts w:hint="eastAsia" w:ascii="宋体" w:hAnsi="宋体" w:eastAsia="宋体" w:cs="宋体"/>
          <w:color w:val="auto"/>
          <w:sz w:val="24"/>
          <w:szCs w:val="32"/>
          <w:highlight w:val="none"/>
          <w:lang w:val="en-US"/>
        </w:rPr>
      </w:pPr>
      <w:r>
        <w:rPr>
          <w:rFonts w:hint="eastAsia" w:ascii="宋体" w:hAnsi="宋体" w:eastAsia="宋体" w:cs="宋体"/>
          <w:color w:val="auto"/>
          <w:sz w:val="24"/>
          <w:szCs w:val="32"/>
          <w:highlight w:val="none"/>
        </w:rPr>
        <w:t>联系人：</w:t>
      </w:r>
      <w:r>
        <w:rPr>
          <w:rFonts w:hint="eastAsia" w:ascii="宋体" w:hAnsi="宋体" w:eastAsia="宋体" w:cs="宋体"/>
          <w:color w:val="auto"/>
          <w:kern w:val="2"/>
          <w:sz w:val="24"/>
          <w:szCs w:val="32"/>
          <w:highlight w:val="none"/>
          <w:lang w:val="en-US" w:eastAsia="zh-CN" w:bidi="ar-SA"/>
        </w:rPr>
        <w:t>倪彪</w:t>
      </w:r>
    </w:p>
    <w:p w14:paraId="3ABE39E9">
      <w:pPr>
        <w:spacing w:line="440" w:lineRule="exact"/>
        <w:ind w:firstLine="480" w:firstLineChars="20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联系方式：</w:t>
      </w:r>
      <w:bookmarkStart w:id="17" w:name="_Toc28359086"/>
      <w:bookmarkStart w:id="18" w:name="_Toc28359009"/>
      <w:r>
        <w:rPr>
          <w:rFonts w:hint="eastAsia" w:ascii="宋体" w:hAnsi="宋体" w:eastAsia="宋体" w:cs="宋体"/>
          <w:color w:val="auto"/>
          <w:kern w:val="2"/>
          <w:sz w:val="24"/>
          <w:szCs w:val="32"/>
          <w:highlight w:val="none"/>
          <w:lang w:val="en-US" w:eastAsia="zh-CN" w:bidi="ar-SA"/>
        </w:rPr>
        <w:t>0512-52300307</w:t>
      </w:r>
    </w:p>
    <w:bookmarkEnd w:id="17"/>
    <w:bookmarkEnd w:id="18"/>
    <w:p w14:paraId="0E779292">
      <w:pPr>
        <w:spacing w:line="440" w:lineRule="exact"/>
        <w:ind w:firstLine="480" w:firstLineChars="20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2、采购代理机构信息</w:t>
      </w:r>
    </w:p>
    <w:p w14:paraId="0749D16C">
      <w:pPr>
        <w:spacing w:line="440" w:lineRule="exact"/>
        <w:ind w:firstLine="480" w:firstLineChars="20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单位名称：涵熙（苏州）工程顾问有限公司</w:t>
      </w:r>
    </w:p>
    <w:p w14:paraId="4B50057B">
      <w:pPr>
        <w:spacing w:line="440" w:lineRule="exact"/>
        <w:ind w:firstLine="480" w:firstLineChars="20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单位地址：常熟市山茶花路10号</w:t>
      </w:r>
    </w:p>
    <w:p w14:paraId="2740DBCF">
      <w:pPr>
        <w:spacing w:line="440" w:lineRule="exact"/>
        <w:ind w:firstLine="480" w:firstLineChars="20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联系人：</w:t>
      </w:r>
      <w:r>
        <w:rPr>
          <w:rFonts w:hint="eastAsia" w:ascii="宋体" w:hAnsi="宋体" w:eastAsia="宋体" w:cs="宋体"/>
          <w:color w:val="auto"/>
          <w:sz w:val="24"/>
          <w:szCs w:val="32"/>
          <w:highlight w:val="none"/>
          <w:lang w:val="en-US" w:eastAsia="zh-CN"/>
        </w:rPr>
        <w:t>杜毓蓉、</w:t>
      </w:r>
      <w:r>
        <w:rPr>
          <w:rFonts w:hint="eastAsia" w:ascii="宋体" w:hAnsi="宋体" w:eastAsia="宋体" w:cs="宋体"/>
          <w:color w:val="auto"/>
          <w:sz w:val="24"/>
          <w:szCs w:val="32"/>
          <w:highlight w:val="none"/>
        </w:rPr>
        <w:t>王蔼玲</w:t>
      </w:r>
    </w:p>
    <w:p w14:paraId="59A6DDD4">
      <w:pPr>
        <w:spacing w:line="440" w:lineRule="exact"/>
        <w:ind w:firstLine="480" w:firstLineChars="20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联系方式：0512-52952666</w:t>
      </w:r>
    </w:p>
    <w:p w14:paraId="616F11B5">
      <w:pPr>
        <w:spacing w:line="440" w:lineRule="exact"/>
        <w:ind w:firstLine="480" w:firstLineChars="20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3、项目联系方式</w:t>
      </w:r>
    </w:p>
    <w:p w14:paraId="7AC118A9">
      <w:pPr>
        <w:spacing w:line="440" w:lineRule="exact"/>
        <w:ind w:firstLine="480" w:firstLineChars="20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项目联系人：</w:t>
      </w:r>
      <w:r>
        <w:rPr>
          <w:rFonts w:hint="eastAsia" w:ascii="宋体" w:hAnsi="宋体" w:eastAsia="宋体" w:cs="宋体"/>
          <w:color w:val="auto"/>
          <w:sz w:val="24"/>
          <w:szCs w:val="32"/>
          <w:highlight w:val="none"/>
          <w:lang w:val="en-US" w:eastAsia="zh-CN"/>
        </w:rPr>
        <w:t>杜毓蓉、</w:t>
      </w:r>
      <w:r>
        <w:rPr>
          <w:rFonts w:hint="eastAsia" w:ascii="宋体" w:hAnsi="宋体" w:eastAsia="宋体" w:cs="宋体"/>
          <w:color w:val="auto"/>
          <w:sz w:val="24"/>
          <w:szCs w:val="32"/>
          <w:highlight w:val="none"/>
        </w:rPr>
        <w:t>王蔼玲</w:t>
      </w:r>
    </w:p>
    <w:p w14:paraId="51C98DEE">
      <w:pPr>
        <w:spacing w:line="440" w:lineRule="exact"/>
        <w:ind w:firstLine="480" w:firstLineChars="20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电话：0512-52952666</w:t>
      </w:r>
    </w:p>
    <w:p w14:paraId="1ECA2A6B">
      <w:pPr>
        <w:spacing w:line="440" w:lineRule="exact"/>
        <w:ind w:firstLine="5400" w:firstLineChars="2250"/>
        <w:jc w:val="right"/>
        <w:rPr>
          <w:rFonts w:hint="eastAsia" w:ascii="宋体" w:hAnsi="宋体" w:eastAsia="宋体" w:cs="宋体"/>
          <w:color w:val="auto"/>
          <w:sz w:val="24"/>
          <w:szCs w:val="24"/>
          <w:highlight w:val="none"/>
        </w:rPr>
      </w:pPr>
    </w:p>
    <w:p w14:paraId="217249CD">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7C022A75">
      <w:pPr>
        <w:pStyle w:val="2"/>
        <w:rPr>
          <w:rFonts w:hint="eastAsia" w:ascii="宋体" w:hAnsi="宋体" w:eastAsia="宋体" w:cs="宋体"/>
          <w:color w:val="auto"/>
          <w:highlight w:val="none"/>
        </w:rPr>
      </w:pPr>
      <w:bookmarkStart w:id="19" w:name="_Toc16790"/>
      <w:r>
        <w:rPr>
          <w:rFonts w:hint="eastAsia" w:ascii="宋体" w:hAnsi="宋体" w:eastAsia="宋体" w:cs="宋体"/>
          <w:color w:val="auto"/>
          <w:highlight w:val="none"/>
        </w:rPr>
        <w:t>第二章 投标人须知</w:t>
      </w:r>
      <w:bookmarkEnd w:id="14"/>
      <w:bookmarkEnd w:id="15"/>
      <w:bookmarkEnd w:id="16"/>
      <w:bookmarkEnd w:id="19"/>
    </w:p>
    <w:p w14:paraId="287E8332">
      <w:pPr>
        <w:keepNext/>
        <w:keepLines/>
        <w:spacing w:before="152" w:beforeLines="50" w:after="152" w:afterLines="50" w:line="440" w:lineRule="exact"/>
        <w:outlineLvl w:val="2"/>
        <w:rPr>
          <w:rFonts w:hint="eastAsia" w:ascii="宋体" w:hAnsi="宋体" w:eastAsia="宋体" w:cs="宋体"/>
          <w:b/>
          <w:bCs/>
          <w:color w:val="auto"/>
          <w:sz w:val="32"/>
          <w:szCs w:val="32"/>
          <w:highlight w:val="none"/>
        </w:rPr>
      </w:pPr>
      <w:bookmarkStart w:id="20" w:name="_Toc26983"/>
      <w:bookmarkStart w:id="21" w:name="_Toc19236"/>
      <w:bookmarkStart w:id="22" w:name="_Toc21213"/>
      <w:bookmarkStart w:id="23" w:name="_Toc11952"/>
      <w:bookmarkStart w:id="24" w:name="_Toc22217"/>
      <w:bookmarkStart w:id="25" w:name="_Toc4302"/>
      <w:bookmarkStart w:id="26" w:name="_Toc25166"/>
      <w:bookmarkStart w:id="27" w:name="_Toc14411"/>
      <w:bookmarkStart w:id="28" w:name="_Toc13772"/>
      <w:bookmarkStart w:id="29" w:name="_Toc1525"/>
      <w:bookmarkStart w:id="30" w:name="_Toc6663"/>
      <w:r>
        <w:rPr>
          <w:rFonts w:hint="eastAsia" w:ascii="宋体" w:hAnsi="宋体" w:eastAsia="宋体" w:cs="宋体"/>
          <w:b/>
          <w:bCs/>
          <w:color w:val="auto"/>
          <w:sz w:val="32"/>
          <w:szCs w:val="32"/>
          <w:highlight w:val="none"/>
        </w:rPr>
        <w:t>一、总则</w:t>
      </w:r>
      <w:bookmarkEnd w:id="20"/>
      <w:bookmarkEnd w:id="21"/>
      <w:bookmarkEnd w:id="22"/>
      <w:bookmarkEnd w:id="23"/>
      <w:bookmarkEnd w:id="24"/>
      <w:bookmarkEnd w:id="25"/>
      <w:bookmarkEnd w:id="26"/>
      <w:bookmarkEnd w:id="27"/>
      <w:bookmarkEnd w:id="28"/>
      <w:bookmarkEnd w:id="29"/>
      <w:bookmarkEnd w:id="30"/>
    </w:p>
    <w:p w14:paraId="371E453D">
      <w:pPr>
        <w:keepNext/>
        <w:keepLines/>
        <w:spacing w:line="440" w:lineRule="exact"/>
        <w:ind w:firstLine="138" w:firstLineChars="49"/>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8"/>
          <w:szCs w:val="28"/>
          <w:highlight w:val="none"/>
        </w:rPr>
        <w:t>1、采购方式及适用法律</w:t>
      </w:r>
    </w:p>
    <w:p w14:paraId="6E976B5E">
      <w:pPr>
        <w:spacing w:line="44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 本次政府采购活动采取公开招标方式，本招标文件仅适用于招标公告中所述项目。</w:t>
      </w:r>
    </w:p>
    <w:p w14:paraId="1A32CA0A">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1.2本次招标及由此产生的合同受中华人民共和国有关的法律法规制约和保护。</w:t>
      </w:r>
    </w:p>
    <w:p w14:paraId="1C4526CA">
      <w:pPr>
        <w:keepNext/>
        <w:keepLines/>
        <w:spacing w:line="440" w:lineRule="exact"/>
        <w:ind w:firstLine="138" w:firstLineChars="49"/>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8"/>
          <w:szCs w:val="28"/>
          <w:highlight w:val="none"/>
        </w:rPr>
        <w:t>2、定义</w:t>
      </w:r>
    </w:p>
    <w:p w14:paraId="371567E8">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2.1“采购人”系指购买本项目货物并接受相关服务的国家机关、事业单位、团体组织。</w:t>
      </w:r>
    </w:p>
    <w:p w14:paraId="6EC6400E">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2.2“采购代理机构”系指依法接受采购人委托，从事货物和服务等政府采购业务的采购代理机构（以下简称“代理机构”）。本项目采购代理机构为涵熙（苏州）工程顾问有限公司。</w:t>
      </w:r>
    </w:p>
    <w:p w14:paraId="4665C3BD">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2.3“</w:t>
      </w:r>
      <w:r>
        <w:rPr>
          <w:rFonts w:hint="eastAsia" w:ascii="宋体" w:hAnsi="宋体" w:eastAsia="宋体" w:cs="宋体"/>
          <w:color w:val="auto"/>
          <w:sz w:val="24"/>
          <w:szCs w:val="21"/>
          <w:highlight w:val="none"/>
        </w:rPr>
        <w:t>投标人</w:t>
      </w:r>
      <w:r>
        <w:rPr>
          <w:rFonts w:hint="eastAsia" w:ascii="宋体" w:hAnsi="宋体" w:eastAsia="宋体" w:cs="宋体"/>
          <w:color w:val="auto"/>
          <w:kern w:val="0"/>
          <w:sz w:val="24"/>
          <w:szCs w:val="24"/>
          <w:highlight w:val="none"/>
        </w:rPr>
        <w:t>”系指响应招标、参加投标竞争的供应商。</w:t>
      </w:r>
    </w:p>
    <w:p w14:paraId="1F8CEF3B">
      <w:pPr>
        <w:keepNext/>
        <w:keepLines/>
        <w:spacing w:line="440" w:lineRule="exact"/>
        <w:ind w:firstLine="138" w:firstLineChars="49"/>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3、合格的投标人</w:t>
      </w:r>
    </w:p>
    <w:p w14:paraId="04B52BC4">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3.1 满足招标公告中供应商的资格要求的规定，详见《第一章 投标邀请》中投标人资格要求。</w:t>
      </w:r>
    </w:p>
    <w:p w14:paraId="3BB2DB69">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3.2 满足本文件实质性要求和条件的规定。</w:t>
      </w:r>
    </w:p>
    <w:p w14:paraId="3E5028C9">
      <w:pPr>
        <w:keepNext/>
        <w:keepLines/>
        <w:spacing w:line="440" w:lineRule="exact"/>
        <w:ind w:firstLine="138" w:firstLineChars="49"/>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4、投标费用</w:t>
      </w:r>
    </w:p>
    <w:p w14:paraId="60312013">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4.1无论投标过程中的做法和结果如何，投标人应自行承担所有与准备和参加投标有关的全部费用。</w:t>
      </w:r>
    </w:p>
    <w:p w14:paraId="40E70FBB">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4.2本次招标采购代理机构和采购人不收取标书工本费。</w:t>
      </w:r>
    </w:p>
    <w:p w14:paraId="5F3434E8">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4.3本项目采购代理服务费由中标人支付，在代理机构发成交通知书时由中标人向采购代理机构支付中标服务费¥</w:t>
      </w:r>
      <w:r>
        <w:rPr>
          <w:rFonts w:hint="eastAsia" w:ascii="宋体" w:hAnsi="宋体" w:eastAsia="宋体" w:cs="宋体"/>
          <w:color w:val="auto"/>
          <w:kern w:val="0"/>
          <w:sz w:val="24"/>
          <w:szCs w:val="24"/>
          <w:highlight w:val="none"/>
          <w:lang w:val="en-US" w:eastAsia="zh-CN"/>
        </w:rPr>
        <w:t>14980.00</w:t>
      </w:r>
      <w:r>
        <w:rPr>
          <w:rFonts w:hint="eastAsia" w:ascii="宋体" w:hAnsi="宋体" w:eastAsia="宋体" w:cs="宋体"/>
          <w:color w:val="auto"/>
          <w:kern w:val="0"/>
          <w:sz w:val="24"/>
          <w:szCs w:val="24"/>
          <w:highlight w:val="none"/>
        </w:rPr>
        <w:t>元（人民币</w:t>
      </w:r>
      <w:r>
        <w:rPr>
          <w:rFonts w:hint="eastAsia" w:ascii="宋体" w:hAnsi="宋体" w:eastAsia="宋体" w:cs="宋体"/>
          <w:color w:val="auto"/>
          <w:kern w:val="0"/>
          <w:sz w:val="24"/>
          <w:szCs w:val="24"/>
          <w:highlight w:val="none"/>
          <w:lang w:val="en-US" w:eastAsia="zh-CN"/>
        </w:rPr>
        <w:t>壹万肆仟玖佰捌拾</w:t>
      </w:r>
      <w:r>
        <w:rPr>
          <w:rFonts w:hint="eastAsia" w:ascii="宋体" w:hAnsi="宋体" w:eastAsia="宋体" w:cs="宋体"/>
          <w:color w:val="auto"/>
          <w:kern w:val="0"/>
          <w:sz w:val="24"/>
          <w:szCs w:val="24"/>
          <w:highlight w:val="none"/>
        </w:rPr>
        <w:t>元整），一次性付清。</w:t>
      </w:r>
    </w:p>
    <w:p w14:paraId="6AF9A3DC">
      <w:pPr>
        <w:keepNext/>
        <w:keepLines/>
        <w:spacing w:line="440" w:lineRule="exact"/>
        <w:ind w:firstLine="138" w:firstLineChars="49"/>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5、招标文件的约束力</w:t>
      </w:r>
    </w:p>
    <w:p w14:paraId="2ED5291E">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5.1</w:t>
      </w:r>
      <w:r>
        <w:rPr>
          <w:rFonts w:hint="eastAsia" w:ascii="宋体" w:hAnsi="宋体" w:eastAsia="宋体" w:cs="宋体"/>
          <w:color w:val="auto"/>
          <w:sz w:val="24"/>
          <w:szCs w:val="24"/>
          <w:highlight w:val="none"/>
        </w:rPr>
        <w:t>投标人一旦参加本项目采购活动，即被认为接受了本招标文件的规定和约束。</w:t>
      </w:r>
    </w:p>
    <w:p w14:paraId="29E9E90A">
      <w:pPr>
        <w:keepNext/>
        <w:keepLines/>
        <w:spacing w:before="152" w:beforeLines="50" w:after="152" w:afterLines="50" w:line="440" w:lineRule="exact"/>
        <w:outlineLvl w:val="2"/>
        <w:rPr>
          <w:rFonts w:hint="eastAsia" w:ascii="宋体" w:hAnsi="宋体" w:eastAsia="宋体" w:cs="宋体"/>
          <w:b/>
          <w:bCs/>
          <w:color w:val="auto"/>
          <w:sz w:val="32"/>
          <w:szCs w:val="32"/>
          <w:highlight w:val="none"/>
        </w:rPr>
      </w:pPr>
      <w:bookmarkStart w:id="31" w:name="_Toc3850"/>
      <w:bookmarkStart w:id="32" w:name="_Toc5867"/>
      <w:bookmarkStart w:id="33" w:name="_Toc15419"/>
      <w:bookmarkStart w:id="34" w:name="_Toc11533"/>
      <w:bookmarkStart w:id="35" w:name="_Toc5354"/>
      <w:bookmarkStart w:id="36" w:name="_Toc24886"/>
      <w:bookmarkStart w:id="37" w:name="_Toc10408"/>
      <w:bookmarkStart w:id="38" w:name="_Toc2267"/>
      <w:bookmarkStart w:id="39" w:name="_Toc13416"/>
      <w:bookmarkStart w:id="40" w:name="_Toc7528"/>
      <w:bookmarkStart w:id="41" w:name="_Toc20302"/>
      <w:r>
        <w:rPr>
          <w:rFonts w:hint="eastAsia" w:ascii="宋体" w:hAnsi="宋体" w:eastAsia="宋体" w:cs="宋体"/>
          <w:b/>
          <w:bCs/>
          <w:color w:val="auto"/>
          <w:sz w:val="32"/>
          <w:szCs w:val="32"/>
          <w:highlight w:val="none"/>
        </w:rPr>
        <w:t>二、</w:t>
      </w:r>
      <w:bookmarkEnd w:id="31"/>
      <w:bookmarkEnd w:id="32"/>
      <w:bookmarkEnd w:id="33"/>
      <w:bookmarkEnd w:id="34"/>
      <w:bookmarkEnd w:id="35"/>
      <w:bookmarkEnd w:id="36"/>
      <w:r>
        <w:rPr>
          <w:rFonts w:hint="eastAsia" w:ascii="宋体" w:hAnsi="宋体" w:eastAsia="宋体" w:cs="宋体"/>
          <w:b/>
          <w:bCs/>
          <w:color w:val="auto"/>
          <w:sz w:val="32"/>
          <w:szCs w:val="32"/>
          <w:highlight w:val="none"/>
        </w:rPr>
        <w:t>招标文件</w:t>
      </w:r>
      <w:bookmarkEnd w:id="37"/>
      <w:bookmarkEnd w:id="38"/>
      <w:bookmarkEnd w:id="39"/>
      <w:bookmarkEnd w:id="40"/>
      <w:bookmarkEnd w:id="41"/>
    </w:p>
    <w:p w14:paraId="3491DC99">
      <w:pPr>
        <w:keepNext/>
        <w:keepLines/>
        <w:spacing w:line="440" w:lineRule="exact"/>
        <w:ind w:firstLine="138" w:firstLineChars="49"/>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6、招标文件构成</w:t>
      </w:r>
    </w:p>
    <w:p w14:paraId="5EDA5458">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6.1招标文件由以下部分组成：</w:t>
      </w:r>
    </w:p>
    <w:p w14:paraId="5EF4C946">
      <w:pPr>
        <w:spacing w:line="440" w:lineRule="exact"/>
        <w:ind w:firstLine="787" w:firstLineChars="328"/>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（1）投标邀请</w:t>
      </w:r>
    </w:p>
    <w:p w14:paraId="5736C9A9">
      <w:pPr>
        <w:spacing w:line="440" w:lineRule="exact"/>
        <w:ind w:firstLine="787" w:firstLineChars="328"/>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（2）投标人须知</w:t>
      </w:r>
    </w:p>
    <w:p w14:paraId="44D20C44">
      <w:pPr>
        <w:spacing w:line="440" w:lineRule="exact"/>
        <w:ind w:firstLine="787" w:firstLineChars="328"/>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（3）合同文本</w:t>
      </w:r>
    </w:p>
    <w:p w14:paraId="3337F406">
      <w:pPr>
        <w:spacing w:line="440" w:lineRule="exact"/>
        <w:ind w:firstLine="787" w:firstLineChars="328"/>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（4）采购需求</w:t>
      </w:r>
    </w:p>
    <w:p w14:paraId="4A503095">
      <w:pPr>
        <w:spacing w:line="440" w:lineRule="exact"/>
        <w:ind w:firstLine="787" w:firstLineChars="328"/>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（5）评标方法与评标标准</w:t>
      </w:r>
    </w:p>
    <w:p w14:paraId="5DCC6520">
      <w:pPr>
        <w:spacing w:line="440" w:lineRule="exact"/>
        <w:ind w:firstLine="787" w:firstLineChars="328"/>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（6）投标文件格式</w:t>
      </w:r>
    </w:p>
    <w:p w14:paraId="7CB5FAAC">
      <w:pPr>
        <w:spacing w:line="440" w:lineRule="exact"/>
        <w:ind w:firstLine="787" w:firstLineChars="328"/>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请仔细检查招标文件是否齐全，如有缺漏请立即与代理机构联系解决。</w:t>
      </w:r>
    </w:p>
    <w:p w14:paraId="30151911">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D1A7DC4">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6.3 招标文件及其更正事项如不是直接从指定媒体地址下载获得的，采购人或代理机构对招标文件及其补遗的真实性、完整性不承担任何责任。</w:t>
      </w:r>
    </w:p>
    <w:p w14:paraId="5071680D">
      <w:pPr>
        <w:keepNext/>
        <w:keepLines/>
        <w:spacing w:line="440" w:lineRule="exact"/>
        <w:ind w:firstLine="138" w:firstLineChars="49"/>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7、招标文件的澄清、修改</w:t>
      </w:r>
    </w:p>
    <w:p w14:paraId="46F28475">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7.1</w:t>
      </w:r>
      <w:bookmarkStart w:id="42" w:name="_Toc25813"/>
      <w:bookmarkStart w:id="43" w:name="_Toc20364"/>
      <w:bookmarkStart w:id="44" w:name="_Toc20675"/>
      <w:bookmarkStart w:id="45" w:name="_Toc18617"/>
      <w:bookmarkStart w:id="46" w:name="_Toc9687"/>
      <w:bookmarkStart w:id="47" w:name="_Toc19823"/>
      <w:r>
        <w:rPr>
          <w:rFonts w:hint="eastAsia" w:ascii="宋体" w:hAnsi="宋体" w:eastAsia="宋体" w:cs="宋体"/>
          <w:color w:val="auto"/>
          <w:kern w:val="0"/>
          <w:sz w:val="24"/>
          <w:szCs w:val="24"/>
          <w:highlight w:val="none"/>
        </w:rPr>
        <w:t>出于实际需要或澄清投标人问题的情况下，代理机构可对已发出的招标文件进行必要的澄清或者修改，并将在指定媒体上发布。各投标人应在投标截止时间前关注苏州市政府采购网“补充通知”栏，按规定获取相关信息内容，否则其投标风险由投标人承担。</w:t>
      </w:r>
    </w:p>
    <w:p w14:paraId="2274A9BB">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7.2 代理机构有权按照法定的要求顺延投标截止时间和开标时间。</w:t>
      </w:r>
    </w:p>
    <w:p w14:paraId="437E1452">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7.3 有关澄清或者修改的内容将作为招标文件的组成部分，对所有投标人具有约束力。</w:t>
      </w:r>
    </w:p>
    <w:p w14:paraId="783AB864">
      <w:pPr>
        <w:keepNext/>
        <w:keepLines/>
        <w:spacing w:before="152" w:beforeLines="50" w:after="152" w:afterLines="50" w:line="440" w:lineRule="exact"/>
        <w:outlineLvl w:val="2"/>
        <w:rPr>
          <w:rFonts w:hint="eastAsia" w:ascii="宋体" w:hAnsi="宋体" w:eastAsia="宋体" w:cs="宋体"/>
          <w:b/>
          <w:bCs/>
          <w:color w:val="auto"/>
          <w:sz w:val="32"/>
          <w:szCs w:val="32"/>
          <w:highlight w:val="none"/>
        </w:rPr>
      </w:pPr>
      <w:bookmarkStart w:id="48" w:name="_Toc8359"/>
      <w:bookmarkStart w:id="49" w:name="_Toc23549"/>
      <w:bookmarkStart w:id="50" w:name="_Toc8969"/>
      <w:bookmarkStart w:id="51" w:name="_Toc29718"/>
      <w:bookmarkStart w:id="52" w:name="_Toc31086"/>
      <w:r>
        <w:rPr>
          <w:rFonts w:hint="eastAsia" w:ascii="宋体" w:hAnsi="宋体" w:eastAsia="宋体" w:cs="宋体"/>
          <w:b/>
          <w:bCs/>
          <w:color w:val="auto"/>
          <w:sz w:val="32"/>
          <w:szCs w:val="32"/>
          <w:highlight w:val="none"/>
        </w:rPr>
        <w:t>三、投标文件的编制</w:t>
      </w:r>
      <w:bookmarkEnd w:id="42"/>
      <w:bookmarkEnd w:id="43"/>
      <w:bookmarkEnd w:id="44"/>
      <w:bookmarkEnd w:id="45"/>
      <w:bookmarkEnd w:id="46"/>
      <w:bookmarkEnd w:id="47"/>
      <w:bookmarkEnd w:id="48"/>
      <w:bookmarkEnd w:id="49"/>
      <w:bookmarkEnd w:id="50"/>
      <w:bookmarkEnd w:id="51"/>
      <w:bookmarkEnd w:id="52"/>
    </w:p>
    <w:p w14:paraId="1ADB2297">
      <w:pPr>
        <w:keepNext/>
        <w:keepLines/>
        <w:spacing w:line="440" w:lineRule="exact"/>
        <w:ind w:firstLine="138" w:firstLineChars="49"/>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8、投标文件的语言及度量衡单位</w:t>
      </w:r>
    </w:p>
    <w:p w14:paraId="2DF9B2B9">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8.1投标人提交的投标文件以及投标人与代理机构就有关投标的所有来往通知、函件和文件均应使用</w:t>
      </w:r>
      <w:r>
        <w:rPr>
          <w:rFonts w:hint="eastAsia" w:ascii="宋体" w:hAnsi="宋体" w:eastAsia="宋体" w:cs="宋体"/>
          <w:b/>
          <w:bCs/>
          <w:color w:val="auto"/>
          <w:kern w:val="0"/>
          <w:sz w:val="24"/>
          <w:szCs w:val="24"/>
          <w:highlight w:val="none"/>
        </w:rPr>
        <w:t>简体中文</w:t>
      </w:r>
      <w:r>
        <w:rPr>
          <w:rFonts w:hint="eastAsia" w:ascii="宋体" w:hAnsi="宋体" w:eastAsia="宋体" w:cs="宋体"/>
          <w:color w:val="auto"/>
          <w:kern w:val="0"/>
          <w:sz w:val="24"/>
          <w:szCs w:val="24"/>
          <w:highlight w:val="none"/>
        </w:rPr>
        <w:t>。</w:t>
      </w:r>
    </w:p>
    <w:p w14:paraId="07D20299">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8.2除技术性能另有规定外，投标文件所使用的度量衡单位，均须采用国家法定计量单位。</w:t>
      </w:r>
    </w:p>
    <w:p w14:paraId="70C18C85">
      <w:pPr>
        <w:keepNext/>
        <w:keepLines/>
        <w:spacing w:line="440" w:lineRule="exact"/>
        <w:ind w:firstLine="138" w:firstLineChars="49"/>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9、投标文件构成</w:t>
      </w:r>
    </w:p>
    <w:p w14:paraId="339ABE64">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9.1投标人编写的投标文件应包括资格证明文件、开标一览表、报价明细表、投标函、技术（或商务）要求响应及偏离表、详细配置表、项目实施方案、其他证明文件等部分。</w:t>
      </w:r>
    </w:p>
    <w:p w14:paraId="0E9F8D5C">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9.2 如标书制作工具中格式和内容与指定媒体发布的招标文件不一致，请以指定媒体发布的招标文件为准。</w:t>
      </w:r>
    </w:p>
    <w:p w14:paraId="60ACCCA6">
      <w:pPr>
        <w:keepNext/>
        <w:keepLines/>
        <w:spacing w:line="440" w:lineRule="exact"/>
        <w:ind w:firstLine="138" w:firstLineChars="49"/>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10、证明投标人及投标标的符合招标文件规定的文件</w:t>
      </w:r>
    </w:p>
    <w:p w14:paraId="5B0C39A0">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10.1 投标人应按照招标文件要求提交证明文件，证明其及投标标的符合招标文件规定。</w:t>
      </w:r>
    </w:p>
    <w:p w14:paraId="336550C5">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10.2招标文件对证明文件无明确形式要求的，证明文件可以以文字资料、图纸和数据等形式提交。</w:t>
      </w:r>
    </w:p>
    <w:p w14:paraId="768D813F">
      <w:pPr>
        <w:keepNext/>
        <w:keepLines/>
        <w:spacing w:line="440" w:lineRule="exact"/>
        <w:ind w:firstLine="138" w:firstLineChars="49"/>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11、投标函和开标一览表</w:t>
      </w:r>
    </w:p>
    <w:p w14:paraId="74441028">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11.1投标人应按照招标文件中提供的格式完整、正确填写投标函、开标一览表。</w:t>
      </w:r>
    </w:p>
    <w:p w14:paraId="46334BA9">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11.2 对于采用货币报价的项目，开标一览表中的投标总报价应与报价明细表中的投标总报价一致，如不一致不作为无效投标处理，但评标时按开标一览表中价格为准。</w:t>
      </w:r>
    </w:p>
    <w:p w14:paraId="658006FB">
      <w:pPr>
        <w:keepNext/>
        <w:keepLines/>
        <w:spacing w:line="440" w:lineRule="exact"/>
        <w:ind w:firstLine="138" w:firstLineChars="49"/>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12、报价明细表</w:t>
      </w:r>
    </w:p>
    <w:p w14:paraId="4453B11B">
      <w:pPr>
        <w:spacing w:line="500" w:lineRule="exact"/>
        <w:ind w:firstLine="480"/>
        <w:rPr>
          <w:rFonts w:hint="eastAsia" w:ascii="宋体" w:hAnsi="宋体" w:eastAsia="宋体" w:cs="宋体"/>
          <w:bCs/>
          <w:color w:val="auto"/>
          <w:sz w:val="24"/>
          <w:szCs w:val="21"/>
          <w:highlight w:val="none"/>
        </w:rPr>
      </w:pPr>
      <w:r>
        <w:rPr>
          <w:rFonts w:hint="eastAsia" w:ascii="宋体" w:hAnsi="宋体" w:eastAsia="宋体" w:cs="宋体"/>
          <w:color w:val="auto"/>
          <w:kern w:val="0"/>
          <w:sz w:val="24"/>
          <w:szCs w:val="24"/>
          <w:highlight w:val="none"/>
        </w:rPr>
        <w:t>12.1</w:t>
      </w:r>
      <w:r>
        <w:rPr>
          <w:rFonts w:hint="eastAsia" w:ascii="宋体" w:hAnsi="宋体" w:eastAsia="宋体" w:cs="宋体"/>
          <w:color w:val="auto"/>
          <w:sz w:val="24"/>
          <w:szCs w:val="21"/>
          <w:highlight w:val="none"/>
        </w:rPr>
        <w:t>投标人应按照招标文件规定格式填报报价明细表。</w:t>
      </w:r>
    </w:p>
    <w:p w14:paraId="549A9F8F">
      <w:pPr>
        <w:spacing w:line="50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12.2</w:t>
      </w:r>
      <w:r>
        <w:rPr>
          <w:rFonts w:hint="eastAsia" w:ascii="宋体" w:hAnsi="宋体" w:eastAsia="宋体" w:cs="宋体"/>
          <w:color w:val="auto"/>
          <w:sz w:val="24"/>
          <w:szCs w:val="21"/>
          <w:highlight w:val="none"/>
        </w:rPr>
        <w:t xml:space="preserve"> </w:t>
      </w:r>
      <w:r>
        <w:rPr>
          <w:rFonts w:hint="eastAsia" w:ascii="宋体" w:hAnsi="宋体" w:eastAsia="宋体" w:cs="宋体"/>
          <w:bCs/>
          <w:color w:val="auto"/>
          <w:sz w:val="24"/>
          <w:szCs w:val="21"/>
          <w:highlight w:val="none"/>
        </w:rPr>
        <w:t>投标货币。投标文件中的单价和总价无特殊规定的采用人民币报价，以元为单位标注。</w:t>
      </w:r>
      <w:r>
        <w:rPr>
          <w:rFonts w:hint="eastAsia" w:ascii="宋体" w:hAnsi="宋体" w:eastAsia="宋体" w:cs="宋体"/>
          <w:color w:val="auto"/>
          <w:sz w:val="24"/>
          <w:szCs w:val="21"/>
          <w:highlight w:val="none"/>
        </w:rPr>
        <w:t>招标文件中另有规定的按规定执行。</w:t>
      </w:r>
    </w:p>
    <w:p w14:paraId="78195EB4">
      <w:pPr>
        <w:keepNext/>
        <w:keepLines/>
        <w:spacing w:line="440" w:lineRule="exact"/>
        <w:ind w:firstLine="138" w:firstLineChars="49"/>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13、服务、商务要求响应及偏离表</w:t>
      </w:r>
    </w:p>
    <w:p w14:paraId="2F629EAD">
      <w:pPr>
        <w:spacing w:line="500" w:lineRule="exact"/>
        <w:ind w:firstLine="480"/>
        <w:rPr>
          <w:rFonts w:hint="eastAsia" w:ascii="宋体" w:hAnsi="宋体" w:eastAsia="宋体" w:cs="宋体"/>
          <w:color w:val="auto"/>
          <w:sz w:val="24"/>
          <w:szCs w:val="21"/>
          <w:highlight w:val="none"/>
          <w:lang w:val="zh-CN"/>
        </w:rPr>
      </w:pPr>
      <w:r>
        <w:rPr>
          <w:rFonts w:hint="eastAsia" w:ascii="宋体" w:hAnsi="宋体" w:eastAsia="宋体" w:cs="宋体"/>
          <w:color w:val="auto"/>
          <w:kern w:val="0"/>
          <w:sz w:val="24"/>
          <w:szCs w:val="24"/>
          <w:highlight w:val="none"/>
        </w:rPr>
        <w:t>13.1</w:t>
      </w:r>
      <w:r>
        <w:rPr>
          <w:rFonts w:hint="eastAsia" w:ascii="宋体" w:hAnsi="宋体" w:eastAsia="宋体" w:cs="宋体"/>
          <w:color w:val="auto"/>
          <w:sz w:val="24"/>
          <w:szCs w:val="21"/>
          <w:highlight w:val="none"/>
          <w:lang w:val="zh-CN"/>
        </w:rPr>
        <w:t>投标人需对招标文件中的服务要求与商务要求逐项作出响应或偏离，并说明原因。</w:t>
      </w:r>
    </w:p>
    <w:p w14:paraId="3506E095">
      <w:pPr>
        <w:spacing w:line="500" w:lineRule="exact"/>
        <w:ind w:firstLine="480"/>
        <w:rPr>
          <w:rFonts w:hint="eastAsia" w:ascii="宋体" w:hAnsi="宋体" w:eastAsia="宋体" w:cs="宋体"/>
          <w:color w:val="auto"/>
          <w:sz w:val="24"/>
          <w:highlight w:val="none"/>
          <w:lang w:val="zh-CN"/>
        </w:rPr>
      </w:pPr>
      <w:r>
        <w:rPr>
          <w:rFonts w:hint="eastAsia" w:ascii="宋体" w:hAnsi="宋体" w:eastAsia="宋体" w:cs="宋体"/>
          <w:color w:val="auto"/>
          <w:sz w:val="24"/>
          <w:szCs w:val="24"/>
          <w:highlight w:val="none"/>
        </w:rPr>
        <w:t>13.2</w:t>
      </w:r>
      <w:r>
        <w:rPr>
          <w:rFonts w:hint="eastAsia" w:ascii="宋体" w:hAnsi="宋体" w:eastAsia="宋体" w:cs="宋体"/>
          <w:color w:val="auto"/>
          <w:sz w:val="24"/>
          <w:szCs w:val="21"/>
          <w:highlight w:val="none"/>
          <w:lang w:val="zh-CN"/>
        </w:rPr>
        <w:t xml:space="preserve"> </w:t>
      </w:r>
      <w:r>
        <w:rPr>
          <w:rFonts w:hint="eastAsia" w:ascii="宋体" w:hAnsi="宋体" w:eastAsia="宋体" w:cs="宋体"/>
          <w:color w:val="auto"/>
          <w:sz w:val="24"/>
          <w:highlight w:val="none"/>
          <w:lang w:val="zh-CN"/>
        </w:rPr>
        <w:t>投标人需按照招标文件要求，在投标文件中提供与服务要求和商务要求相关的证明材料。（如有）</w:t>
      </w:r>
    </w:p>
    <w:p w14:paraId="625B4C2B">
      <w:pPr>
        <w:keepNext/>
        <w:keepLines/>
        <w:spacing w:line="440" w:lineRule="exact"/>
        <w:ind w:firstLine="141" w:firstLineChars="50"/>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14、项目</w:t>
      </w:r>
      <w:r>
        <w:rPr>
          <w:rFonts w:hint="eastAsia" w:ascii="宋体" w:hAnsi="宋体" w:cs="宋体"/>
          <w:b/>
          <w:color w:val="auto"/>
          <w:kern w:val="0"/>
          <w:sz w:val="28"/>
          <w:szCs w:val="28"/>
          <w:highlight w:val="none"/>
          <w:lang w:val="en-US" w:eastAsia="zh-CN"/>
        </w:rPr>
        <w:t>实施</w:t>
      </w:r>
      <w:r>
        <w:rPr>
          <w:rFonts w:hint="eastAsia" w:ascii="宋体" w:hAnsi="宋体" w:eastAsia="宋体" w:cs="宋体"/>
          <w:b/>
          <w:color w:val="auto"/>
          <w:kern w:val="0"/>
          <w:sz w:val="28"/>
          <w:szCs w:val="28"/>
          <w:highlight w:val="none"/>
        </w:rPr>
        <w:t>方案、</w:t>
      </w:r>
      <w:r>
        <w:rPr>
          <w:rFonts w:hint="eastAsia" w:ascii="宋体" w:hAnsi="宋体" w:cs="宋体"/>
          <w:b/>
          <w:color w:val="auto"/>
          <w:kern w:val="0"/>
          <w:sz w:val="28"/>
          <w:szCs w:val="28"/>
          <w:highlight w:val="none"/>
          <w:lang w:val="en-US" w:eastAsia="zh-CN"/>
        </w:rPr>
        <w:t>项目组人员一览表、车辆设备配备一览表、</w:t>
      </w:r>
      <w:r>
        <w:rPr>
          <w:rFonts w:hint="eastAsia" w:ascii="宋体" w:hAnsi="宋体" w:eastAsia="宋体" w:cs="宋体"/>
          <w:b/>
          <w:color w:val="auto"/>
          <w:kern w:val="0"/>
          <w:sz w:val="28"/>
          <w:szCs w:val="28"/>
          <w:highlight w:val="none"/>
        </w:rPr>
        <w:t>业绩情况</w:t>
      </w:r>
    </w:p>
    <w:p w14:paraId="714D651D">
      <w:pPr>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w:t>
      </w:r>
      <w:bookmarkStart w:id="53" w:name="_Toc49090510"/>
      <w:bookmarkStart w:id="54" w:name="_Toc14577359"/>
      <w:r>
        <w:rPr>
          <w:rFonts w:hint="eastAsia" w:ascii="宋体" w:hAnsi="宋体" w:eastAsia="宋体" w:cs="宋体"/>
          <w:color w:val="auto"/>
          <w:sz w:val="24"/>
          <w:szCs w:val="24"/>
          <w:highlight w:val="none"/>
        </w:rPr>
        <w:t>投标人需根据招标文件要求</w:t>
      </w:r>
      <w:r>
        <w:rPr>
          <w:rFonts w:hint="eastAsia" w:ascii="宋体" w:hAnsi="宋体" w:eastAsia="宋体" w:cs="宋体"/>
          <w:color w:val="000000" w:themeColor="text1"/>
          <w:sz w:val="24"/>
          <w:szCs w:val="24"/>
          <w:highlight w:val="none"/>
          <w14:textFill>
            <w14:solidFill>
              <w14:schemeClr w14:val="tx1"/>
            </w14:solidFill>
          </w14:textFill>
        </w:rPr>
        <w:t>提供有关项目</w:t>
      </w:r>
      <w:r>
        <w:rPr>
          <w:rFonts w:hint="eastAsia" w:ascii="宋体" w:hAnsi="宋体" w:cs="宋体"/>
          <w:color w:val="000000" w:themeColor="text1"/>
          <w:sz w:val="24"/>
          <w:szCs w:val="24"/>
          <w:highlight w:val="none"/>
          <w:lang w:val="en-US" w:eastAsia="zh-CN"/>
          <w14:textFill>
            <w14:solidFill>
              <w14:schemeClr w14:val="tx1"/>
            </w14:solidFill>
          </w14:textFill>
        </w:rPr>
        <w:t>实施</w:t>
      </w:r>
      <w:r>
        <w:rPr>
          <w:rFonts w:hint="eastAsia" w:ascii="宋体" w:hAnsi="宋体" w:eastAsia="宋体" w:cs="宋体"/>
          <w:color w:val="000000" w:themeColor="text1"/>
          <w:sz w:val="24"/>
          <w:szCs w:val="24"/>
          <w:highlight w:val="none"/>
          <w14:textFill>
            <w14:solidFill>
              <w14:schemeClr w14:val="tx1"/>
            </w14:solidFill>
          </w14:textFill>
        </w:rPr>
        <w:t>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项目组人员一览表、车辆设备配备一览表</w:t>
      </w:r>
      <w:r>
        <w:rPr>
          <w:rFonts w:hint="eastAsia" w:ascii="宋体" w:hAnsi="宋体" w:eastAsia="宋体" w:cs="宋体"/>
          <w:color w:val="auto"/>
          <w:sz w:val="24"/>
          <w:szCs w:val="24"/>
          <w:highlight w:val="none"/>
        </w:rPr>
        <w:t>。</w:t>
      </w:r>
    </w:p>
    <w:p w14:paraId="5272E1B5">
      <w:pPr>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 投标人需根据招标文件要求提供实施的类似项目业绩情况。</w:t>
      </w:r>
    </w:p>
    <w:bookmarkEnd w:id="53"/>
    <w:bookmarkEnd w:id="54"/>
    <w:p w14:paraId="5E49717E">
      <w:pPr>
        <w:keepNext/>
        <w:keepLines/>
        <w:spacing w:line="440" w:lineRule="exact"/>
        <w:ind w:firstLine="138" w:firstLineChars="49"/>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15、投标有效期</w:t>
      </w:r>
    </w:p>
    <w:p w14:paraId="66B917CC">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15.1投标有效期为代理机构规定的提交投标文件截止之日后</w:t>
      </w:r>
      <w:r>
        <w:rPr>
          <w:rFonts w:hint="eastAsia" w:ascii="宋体" w:hAnsi="宋体" w:eastAsia="宋体" w:cs="宋体"/>
          <w:b/>
          <w:bCs/>
          <w:color w:val="auto"/>
          <w:kern w:val="0"/>
          <w:sz w:val="24"/>
          <w:szCs w:val="24"/>
          <w:highlight w:val="none"/>
          <w:u w:val="single"/>
        </w:rPr>
        <w:t>六十（60）天</w:t>
      </w:r>
      <w:r>
        <w:rPr>
          <w:rFonts w:hint="eastAsia" w:ascii="宋体" w:hAnsi="宋体" w:eastAsia="宋体" w:cs="宋体"/>
          <w:color w:val="auto"/>
          <w:kern w:val="0"/>
          <w:sz w:val="24"/>
          <w:szCs w:val="24"/>
          <w:highlight w:val="none"/>
        </w:rPr>
        <w:t>。投标有效期比规定短的将被视为非实质性响应招标文件而予以拒绝。</w:t>
      </w:r>
    </w:p>
    <w:p w14:paraId="3A5E7D6C">
      <w:pPr>
        <w:keepNext/>
        <w:keepLines/>
        <w:spacing w:line="440" w:lineRule="exact"/>
        <w:ind w:firstLine="138" w:firstLineChars="49"/>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16、投标有效期的延长</w:t>
      </w:r>
    </w:p>
    <w:p w14:paraId="6256170D">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p>
    <w:p w14:paraId="3D7FCABD">
      <w:pPr>
        <w:keepNext/>
        <w:keepLines/>
        <w:spacing w:before="152" w:beforeLines="50" w:after="152" w:afterLines="50" w:line="440" w:lineRule="exact"/>
        <w:outlineLvl w:val="2"/>
        <w:rPr>
          <w:rFonts w:hint="eastAsia" w:ascii="宋体" w:hAnsi="宋体" w:eastAsia="宋体" w:cs="宋体"/>
          <w:b/>
          <w:bCs/>
          <w:color w:val="auto"/>
          <w:sz w:val="32"/>
          <w:szCs w:val="32"/>
          <w:highlight w:val="none"/>
        </w:rPr>
      </w:pPr>
      <w:bookmarkStart w:id="55" w:name="_Toc25796"/>
      <w:bookmarkStart w:id="56" w:name="_Toc24414"/>
      <w:bookmarkStart w:id="57" w:name="_Toc14870"/>
      <w:bookmarkStart w:id="58" w:name="_Toc16363"/>
      <w:bookmarkStart w:id="59" w:name="_Toc959"/>
      <w:bookmarkStart w:id="60" w:name="_Toc5321"/>
      <w:bookmarkStart w:id="61" w:name="_Toc1373"/>
      <w:bookmarkStart w:id="62" w:name="_Toc30921"/>
      <w:bookmarkStart w:id="63" w:name="_Toc13568"/>
      <w:bookmarkStart w:id="64" w:name="_Toc8187"/>
      <w:bookmarkStart w:id="65" w:name="_Toc30450"/>
      <w:r>
        <w:rPr>
          <w:rFonts w:hint="eastAsia" w:ascii="宋体" w:hAnsi="宋体" w:eastAsia="宋体" w:cs="宋体"/>
          <w:b/>
          <w:bCs/>
          <w:color w:val="auto"/>
          <w:sz w:val="32"/>
          <w:szCs w:val="32"/>
          <w:highlight w:val="none"/>
        </w:rPr>
        <w:t>四、投标文件的递交</w:t>
      </w:r>
      <w:bookmarkEnd w:id="55"/>
      <w:bookmarkEnd w:id="56"/>
      <w:bookmarkEnd w:id="57"/>
      <w:bookmarkEnd w:id="58"/>
      <w:bookmarkEnd w:id="59"/>
      <w:bookmarkEnd w:id="60"/>
      <w:bookmarkEnd w:id="61"/>
      <w:bookmarkEnd w:id="62"/>
      <w:bookmarkEnd w:id="63"/>
      <w:bookmarkEnd w:id="64"/>
      <w:bookmarkEnd w:id="65"/>
    </w:p>
    <w:p w14:paraId="2F0122F3">
      <w:pPr>
        <w:keepNext/>
        <w:keepLines/>
        <w:spacing w:line="440" w:lineRule="exact"/>
        <w:ind w:firstLine="138" w:firstLineChars="49"/>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17、电子投标文件的递交</w:t>
      </w:r>
    </w:p>
    <w:p w14:paraId="4DE5D4FE">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17.1投标人应当按照《苏采云系统投标人操作手册》规定，在提交投标文件截止时间前制作并上传电子投标文件。</w:t>
      </w:r>
    </w:p>
    <w:p w14:paraId="5458D025">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17.2如投标人投报多个分包的，应分别制作所投每个分包的投标文件，再根据此文档分别制作所投每个分包的电子投标文件。按规定将所投每个分包的的电子投标文件分别上传到对应分包页面中。如未上传的视同为未参加本项目对应分包的投标。</w:t>
      </w:r>
    </w:p>
    <w:p w14:paraId="28A12763">
      <w:pPr>
        <w:keepNext/>
        <w:keepLines/>
        <w:spacing w:line="440" w:lineRule="exact"/>
        <w:ind w:firstLine="138" w:firstLineChars="49"/>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18、提交投标文件截止时间</w:t>
      </w:r>
    </w:p>
    <w:p w14:paraId="48A00615">
      <w:pPr>
        <w:spacing w:line="440" w:lineRule="exact"/>
        <w:ind w:firstLine="480"/>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18.1投标人上传电子投标文件的时间不得迟于招标公告中规定的提交投标文件截止时间。</w:t>
      </w:r>
    </w:p>
    <w:p w14:paraId="0BF223BD">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投标人应充分考虑到网络环境、网络带宽等风险因素，如因投标人自身原因造成的电子投标文件上传不成功的作无效响应处理。</w:t>
      </w:r>
    </w:p>
    <w:p w14:paraId="568681EE">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18.2代理机构可以按照规定，通过修改招标文件酌情延长提交投标文件截止日期，在此情况下，投标人的所有权利和义务以及投标人受制的截止日期均应以延长后新的截止日期为准。</w:t>
      </w:r>
    </w:p>
    <w:p w14:paraId="51A579B2">
      <w:pPr>
        <w:keepNext/>
        <w:keepLines/>
        <w:spacing w:line="440" w:lineRule="exact"/>
        <w:ind w:firstLine="138" w:firstLineChars="49"/>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19、投标文件的拒收</w:t>
      </w:r>
    </w:p>
    <w:p w14:paraId="1E15C092">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19.1代理机构拒绝接收在其规定的提交投标文件截止时间后上传的任何电子投标文件。</w:t>
      </w:r>
    </w:p>
    <w:p w14:paraId="00923F14">
      <w:pPr>
        <w:keepNext/>
        <w:keepLines/>
        <w:spacing w:line="440" w:lineRule="exact"/>
        <w:ind w:firstLine="138" w:firstLineChars="49"/>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20、投标文件的撤回和修改</w:t>
      </w:r>
    </w:p>
    <w:p w14:paraId="7434718B">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20.1投标文件的撤回</w:t>
      </w:r>
    </w:p>
    <w:p w14:paraId="7C396A27">
      <w:pPr>
        <w:spacing w:line="440" w:lineRule="exact"/>
        <w:ind w:firstLine="787" w:firstLineChars="328"/>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21.1.1电子投标文件的撤回</w:t>
      </w:r>
    </w:p>
    <w:p w14:paraId="2125D6AE">
      <w:pPr>
        <w:spacing w:line="440" w:lineRule="exact"/>
        <w:ind w:firstLine="787" w:firstLineChars="328"/>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投标人可在提交投标文件截止时间前，撤回其电子投标文件，具体操作方法见《</w:t>
      </w:r>
      <w:r>
        <w:rPr>
          <w:rFonts w:hint="eastAsia" w:ascii="宋体" w:hAnsi="宋体" w:eastAsia="宋体" w:cs="宋体"/>
          <w:color w:val="auto"/>
          <w:sz w:val="24"/>
          <w:szCs w:val="24"/>
          <w:highlight w:val="none"/>
        </w:rPr>
        <w:t>苏采云系统投标人操作手册</w:t>
      </w:r>
      <w:r>
        <w:rPr>
          <w:rFonts w:hint="eastAsia" w:ascii="宋体" w:hAnsi="宋体" w:eastAsia="宋体" w:cs="宋体"/>
          <w:color w:val="auto"/>
          <w:kern w:val="0"/>
          <w:sz w:val="24"/>
          <w:szCs w:val="24"/>
          <w:highlight w:val="none"/>
        </w:rPr>
        <w:t>》。</w:t>
      </w:r>
    </w:p>
    <w:p w14:paraId="14444879">
      <w:pPr>
        <w:spacing w:line="440" w:lineRule="exact"/>
        <w:ind w:firstLine="787" w:firstLineChars="328"/>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21.1.2投标人撤回电子投标文件，则认为其不再参与本项目投标活动。</w:t>
      </w:r>
    </w:p>
    <w:p w14:paraId="22FBAE95">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20.2投标文件的修改</w:t>
      </w:r>
    </w:p>
    <w:p w14:paraId="4D169BC2">
      <w:pPr>
        <w:spacing w:line="440" w:lineRule="exact"/>
        <w:ind w:firstLine="787" w:firstLineChars="328"/>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投标人可在提交投标文件截止时间前，对其电子投标文件进行修改，具体操作方法见《</w:t>
      </w:r>
      <w:r>
        <w:rPr>
          <w:rFonts w:hint="eastAsia" w:ascii="宋体" w:hAnsi="宋体" w:eastAsia="宋体" w:cs="宋体"/>
          <w:color w:val="auto"/>
          <w:sz w:val="24"/>
          <w:szCs w:val="24"/>
          <w:highlight w:val="none"/>
        </w:rPr>
        <w:t>苏采云系统投标人操作手册</w:t>
      </w:r>
      <w:r>
        <w:rPr>
          <w:rFonts w:hint="eastAsia" w:ascii="宋体" w:hAnsi="宋体" w:eastAsia="宋体" w:cs="宋体"/>
          <w:color w:val="auto"/>
          <w:kern w:val="0"/>
          <w:sz w:val="24"/>
          <w:szCs w:val="24"/>
          <w:highlight w:val="none"/>
        </w:rPr>
        <w:t>》。</w:t>
      </w:r>
    </w:p>
    <w:p w14:paraId="7988AFA4">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20.3在提交投标文件截止时间之后，投标人不得对其电子投标文件作任何修改。</w:t>
      </w:r>
    </w:p>
    <w:p w14:paraId="14FC98D2">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20.4在提交投标文件截止时间至招标文件中规定的投标有效期满之间的这段时间内，投标人不得撤回其投标文件。</w:t>
      </w:r>
    </w:p>
    <w:p w14:paraId="7ADDCD6C">
      <w:pPr>
        <w:keepNext/>
        <w:keepLines/>
        <w:spacing w:before="152" w:beforeLines="50" w:after="152" w:afterLines="50" w:line="440" w:lineRule="exact"/>
        <w:outlineLvl w:val="2"/>
        <w:rPr>
          <w:rFonts w:hint="eastAsia" w:ascii="宋体" w:hAnsi="宋体" w:eastAsia="宋体" w:cs="宋体"/>
          <w:b/>
          <w:bCs/>
          <w:color w:val="auto"/>
          <w:sz w:val="32"/>
          <w:szCs w:val="32"/>
          <w:highlight w:val="none"/>
        </w:rPr>
      </w:pPr>
      <w:bookmarkStart w:id="66" w:name="_Toc3817"/>
      <w:bookmarkStart w:id="67" w:name="_Toc32035"/>
      <w:bookmarkStart w:id="68" w:name="_Toc7502"/>
      <w:bookmarkStart w:id="69" w:name="_Toc28189"/>
      <w:bookmarkStart w:id="70" w:name="_Toc1603"/>
      <w:bookmarkStart w:id="71" w:name="_Toc26408"/>
      <w:bookmarkStart w:id="72" w:name="_Toc19354"/>
      <w:bookmarkStart w:id="73" w:name="_Toc29345"/>
      <w:bookmarkStart w:id="74" w:name="_Toc8142"/>
      <w:bookmarkStart w:id="75" w:name="_Toc15284"/>
      <w:bookmarkStart w:id="76" w:name="_Toc5428"/>
      <w:r>
        <w:rPr>
          <w:rFonts w:hint="eastAsia" w:ascii="宋体" w:hAnsi="宋体" w:eastAsia="宋体" w:cs="宋体"/>
          <w:b/>
          <w:bCs/>
          <w:color w:val="auto"/>
          <w:sz w:val="32"/>
          <w:szCs w:val="32"/>
          <w:highlight w:val="none"/>
        </w:rPr>
        <w:t>五、开标与评审</w:t>
      </w:r>
      <w:bookmarkEnd w:id="66"/>
      <w:bookmarkEnd w:id="67"/>
      <w:bookmarkEnd w:id="68"/>
      <w:bookmarkEnd w:id="69"/>
      <w:bookmarkEnd w:id="70"/>
      <w:bookmarkEnd w:id="71"/>
      <w:bookmarkEnd w:id="72"/>
      <w:bookmarkEnd w:id="73"/>
      <w:bookmarkEnd w:id="74"/>
      <w:bookmarkEnd w:id="75"/>
      <w:bookmarkEnd w:id="76"/>
    </w:p>
    <w:p w14:paraId="217F1477">
      <w:pPr>
        <w:keepNext/>
        <w:keepLines/>
        <w:spacing w:line="440" w:lineRule="exact"/>
        <w:ind w:firstLine="138" w:firstLineChars="49"/>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21、开标</w:t>
      </w:r>
    </w:p>
    <w:p w14:paraId="692F2ACE">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21.1代理机构将在招标公告中规定的时间和地点组织公开开标。投标人应当按照《苏采云系统投标人操作手册》规定，参加开标活动和在苏采云系统规定的时间内对投标文件进行解密。</w:t>
      </w:r>
    </w:p>
    <w:p w14:paraId="0E9CF6C6">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21.2开标仪式由代理机构组织。苏采云系统将自动对项目进行开标，并宣布各投标人名称。</w:t>
      </w:r>
    </w:p>
    <w:p w14:paraId="6E61EFF0">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21.3投标人在开标过程中涉及到的投标文件解密、开标结果确认等工作，应按照《苏采云系统投标人操作手册》规定执行。</w:t>
      </w:r>
    </w:p>
    <w:p w14:paraId="1171674E">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21.4投标人如果对开标过程和开标记录有疑义，应当根据《操作手册》规定提出，如苏采云系统中《开标记录表》宣布后5分钟内未提出的，视同认可开标结果。</w:t>
      </w:r>
    </w:p>
    <w:p w14:paraId="5B5C868D">
      <w:pPr>
        <w:keepNext/>
        <w:keepLines/>
        <w:spacing w:line="440" w:lineRule="exact"/>
        <w:ind w:firstLine="138" w:firstLineChars="49"/>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22、评标委员会</w:t>
      </w:r>
    </w:p>
    <w:p w14:paraId="4362E514">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22.1 开标后，代理机构将立即组织评标委员会（以下简称评委会）进行评标。</w:t>
      </w:r>
    </w:p>
    <w:p w14:paraId="08302579">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22.2 </w:t>
      </w:r>
      <w:r>
        <w:rPr>
          <w:rFonts w:hint="eastAsia" w:ascii="宋体" w:hAnsi="宋体" w:eastAsia="宋体" w:cs="宋体"/>
          <w:color w:val="auto"/>
          <w:sz w:val="24"/>
          <w:szCs w:val="24"/>
          <w:highlight w:val="none"/>
        </w:rPr>
        <w:t>评委会由五人或以上单数的有关技术、经济等方面的专家和采购人代表组成</w:t>
      </w:r>
      <w:r>
        <w:rPr>
          <w:rFonts w:hint="eastAsia" w:ascii="宋体" w:hAnsi="宋体" w:eastAsia="宋体" w:cs="宋体"/>
          <w:color w:val="auto"/>
          <w:kern w:val="0"/>
          <w:sz w:val="24"/>
          <w:szCs w:val="24"/>
          <w:highlight w:val="none"/>
        </w:rPr>
        <w:t>。</w:t>
      </w:r>
    </w:p>
    <w:p w14:paraId="77D033D4">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22.3评委会独立工作，负责评审所有投标文件并确定中标侯选人。</w:t>
      </w:r>
    </w:p>
    <w:p w14:paraId="2FFA8A7A">
      <w:pPr>
        <w:keepNext/>
        <w:keepLines/>
        <w:spacing w:line="440" w:lineRule="exact"/>
        <w:ind w:firstLine="138" w:firstLineChars="49"/>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23、评审过程的保密与公正</w:t>
      </w:r>
    </w:p>
    <w:p w14:paraId="3A4F06DF">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23.1凡是与审查、澄清、评价和比较投标的有关资料以及授标建议等，采购人、评委、代理机构均不得向投标人或与评标无关的其他人员透露。</w:t>
      </w:r>
    </w:p>
    <w:p w14:paraId="39DC2CCA">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23.2在评标过程中，投标人不得以任何行为影响评标过程，否则其投标文件将被作为无效投标文件。</w:t>
      </w:r>
    </w:p>
    <w:p w14:paraId="1A5D61A5">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23.3 代理机构和评委会不向未中标的投标人解释未中标原因，也不公布评标过程中的相关细节。</w:t>
      </w:r>
    </w:p>
    <w:p w14:paraId="05B8E590">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23.4 采用综合评分法的项目，未中标的投标人可于中标结果公告期限届满之日起通过苏采云系统查看自己的评审得分及排序情况。</w:t>
      </w:r>
    </w:p>
    <w:p w14:paraId="54E79823">
      <w:pPr>
        <w:keepNext/>
        <w:keepLines/>
        <w:spacing w:line="440" w:lineRule="exact"/>
        <w:ind w:firstLine="138" w:firstLineChars="49"/>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24、投标文件的澄清</w:t>
      </w:r>
    </w:p>
    <w:p w14:paraId="1BF73FD3">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24.1 评标期间，评委会对投标文件中含义不明确、同类问题表述不一致或者有明显文字和计算错误的内容，有权要求投标人作出必要的澄清、说明或者补正。</w:t>
      </w:r>
    </w:p>
    <w:p w14:paraId="33F49C90">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投标人的澄清、说明或者补正不得超出投标文件的范围或者改变投标文件的实质性内容。</w:t>
      </w:r>
    </w:p>
    <w:p w14:paraId="56BC99CE">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评标委员会并非对每个投标人都做澄清要求。</w:t>
      </w:r>
    </w:p>
    <w:p w14:paraId="14CB4E24">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24.2 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苏采云系统供应商操作手册》。</w:t>
      </w:r>
    </w:p>
    <w:p w14:paraId="50C13398">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24.3 接到评委会澄清、说明和补正要求的投标人如未按规定做出澄清、说明和补正，其风险由投标人自行承担。</w:t>
      </w:r>
    </w:p>
    <w:p w14:paraId="33269AF6">
      <w:pPr>
        <w:keepNext/>
        <w:keepLines/>
        <w:spacing w:line="440" w:lineRule="exact"/>
        <w:ind w:firstLine="138" w:firstLineChars="49"/>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25、对投标文件的审查</w:t>
      </w:r>
    </w:p>
    <w:p w14:paraId="2D088F49">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25.1投标文件审查分为资格审查和符合性审查。</w:t>
      </w:r>
    </w:p>
    <w:p w14:paraId="7301C6AE">
      <w:pPr>
        <w:spacing w:line="440" w:lineRule="exact"/>
        <w:ind w:firstLine="787" w:firstLineChars="328"/>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25.1.1</w:t>
      </w:r>
      <w:r>
        <w:rPr>
          <w:rFonts w:hint="eastAsia" w:ascii="宋体" w:hAnsi="宋体" w:eastAsia="宋体" w:cs="宋体"/>
          <w:bCs/>
          <w:color w:val="auto"/>
          <w:sz w:val="24"/>
          <w:szCs w:val="21"/>
          <w:highlight w:val="none"/>
        </w:rPr>
        <w:t>资格审查：依据法律法规和招标文件的规定，由采购人对投标文件中的资格证明文件进行审查。资格审查的结论，采购人以书面形式向评委会进行反馈。</w:t>
      </w:r>
    </w:p>
    <w:p w14:paraId="24FE160F">
      <w:pPr>
        <w:spacing w:line="440" w:lineRule="exact"/>
        <w:ind w:firstLine="787" w:firstLineChars="328"/>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采购人在进行资格审查的同时，将在信用中国 （ https://www.creditchina.gov.cn/ ） 对投标人的诚信记录进行查询，以确定投标人是否具备投标资格,查询结果留存并归档。</w:t>
      </w:r>
    </w:p>
    <w:p w14:paraId="10E4F2E5">
      <w:pPr>
        <w:spacing w:line="440" w:lineRule="exact"/>
        <w:ind w:firstLine="787" w:firstLineChars="328"/>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接受联合体的项目，两个以上的自然人、法人或者其他组织组成一个联合体，以一个投标人的身份共同参加政府采购活动的，联合体成员中任何一方存在不良信用记录的，视同联合体存在不良应用记录。</w:t>
      </w:r>
    </w:p>
    <w:p w14:paraId="16553B24">
      <w:pPr>
        <w:spacing w:line="440" w:lineRule="exact"/>
        <w:ind w:firstLine="787" w:firstLineChars="328"/>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25.1.2符合性审查：依据招标文件的规定，由评委会从投标文件的有效性、完整性和对招标文件的响应程度进行审查，以确定是否对招标文件的实质性要求作出响应。</w:t>
      </w:r>
    </w:p>
    <w:p w14:paraId="2214DC0D">
      <w:pPr>
        <w:spacing w:line="440" w:lineRule="exact"/>
        <w:ind w:firstLine="787" w:firstLineChars="328"/>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25.1.3未通过资格审查或符合性审查的投标人，评委会将在苏采云系统中告知未通过资格审查或符合性审查的原因，评审结束后，评委会将不再告知未通过资格审查或符合性审查的原因。</w:t>
      </w:r>
    </w:p>
    <w:p w14:paraId="675A41C0">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25.2在详细评审之前，评委会将首先审查每份投标文件是否实质性响应了招标文件的要求。实质性响应的投标文件应该是与招标文件要求的条款、条件和规格相符，没有重大偏离或保留。</w:t>
      </w:r>
    </w:p>
    <w:p w14:paraId="732D931A">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由评委会按照少数服从多数的原则认定。评委会决定投标文件的响应性只根据投标文件本身的内容，而不寻求外部的证据。</w:t>
      </w:r>
    </w:p>
    <w:p w14:paraId="1A3469E8">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25.3如果投标文件实质上没有响应招标文件的要求，评委会将予以拒绝，投标人不得通过修改或撤销不合要求的偏离或保留而使其投标成为实质性响应的投标。</w:t>
      </w:r>
    </w:p>
    <w:p w14:paraId="650B260D">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25.4评委会将对确定为实质性响应的投标文件进行进一步审核，看其是否有计算上或累加上的算术错误，修正错误的原则如下：</w:t>
      </w:r>
    </w:p>
    <w:p w14:paraId="7524F188">
      <w:pPr>
        <w:spacing w:line="460" w:lineRule="exact"/>
        <w:ind w:firstLine="48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（1）投标文件中开标一览表内容与投标文件中相应内容不一致的，以开标一览表为准。</w:t>
      </w:r>
    </w:p>
    <w:p w14:paraId="627659FB">
      <w:pPr>
        <w:spacing w:line="460" w:lineRule="exact"/>
        <w:ind w:firstLine="48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（2）大写金额和小写金额不一致的，以大写金额为准。</w:t>
      </w:r>
    </w:p>
    <w:p w14:paraId="0591069B">
      <w:pPr>
        <w:spacing w:line="460" w:lineRule="exact"/>
        <w:ind w:firstLine="48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（3）单价金额小数点或者百分比有明显错位的，以开标一览表的总价为准，并修改单价。</w:t>
      </w:r>
    </w:p>
    <w:p w14:paraId="22F7BC8D">
      <w:pPr>
        <w:spacing w:line="460" w:lineRule="exact"/>
        <w:ind w:firstLine="48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（4）总价金额与按单价汇总金额不一致的，以单价金额计算结果为准。</w:t>
      </w:r>
    </w:p>
    <w:p w14:paraId="5F33DEE2">
      <w:pPr>
        <w:spacing w:line="460" w:lineRule="exact"/>
        <w:ind w:firstLine="48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同时出现两种以上错误的，按照前款规定的顺序修正。</w:t>
      </w:r>
    </w:p>
    <w:p w14:paraId="16D94C7E">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25.5评委会将按上述修正错误的方法调整投标文件中的报价价格，并通过苏采云系统告知投标人，调整后的价格应对投标人具有约束力。如果投标人不接受修正后的价格，则其投标将被拒绝。</w:t>
      </w:r>
    </w:p>
    <w:p w14:paraId="5E05D960">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25.6使用综合评分法的采购项目，评委会将对通过资格性和符合性检查的投标人进行综合评审，按评审后得分由高到低顺序排列。评审得分相同的，由评委会根据招标文件规定的方式（招标文件未规定的采取随机抽取的方式）确定一个中标候选人。</w:t>
      </w:r>
    </w:p>
    <w:p w14:paraId="1746FC8F">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25.7投标人在开、评标全过程中应保持通讯畅通，及时登录苏采云系统查阅、答复相关信息，并安排专人与代理机构及评委会联系。</w:t>
      </w:r>
    </w:p>
    <w:p w14:paraId="6833AA53">
      <w:pPr>
        <w:keepNext/>
        <w:keepLines/>
        <w:spacing w:line="440" w:lineRule="exact"/>
        <w:ind w:firstLine="138" w:firstLineChars="49"/>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26、无效投标条款和废标条款</w:t>
      </w:r>
    </w:p>
    <w:p w14:paraId="07C73227">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26.1无效投标条款</w:t>
      </w:r>
    </w:p>
    <w:p w14:paraId="0CF7F485">
      <w:pPr>
        <w:spacing w:line="440" w:lineRule="exact"/>
        <w:ind w:firstLine="720" w:firstLineChars="3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26.1.1投标人在苏采云系统规定的时间内未成功解密电子投标文件的。</w:t>
      </w:r>
    </w:p>
    <w:p w14:paraId="0F5CB26D">
      <w:pPr>
        <w:spacing w:line="440" w:lineRule="exact"/>
        <w:ind w:firstLine="720" w:firstLineChars="3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26.1.2投标人未按照招标文件要求上传电子投标文件的。</w:t>
      </w:r>
    </w:p>
    <w:p w14:paraId="186D3DEC">
      <w:pPr>
        <w:spacing w:line="440" w:lineRule="exact"/>
        <w:ind w:firstLine="720" w:firstLineChars="3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26.1.3同一投标人提交两个（含两个）以上不同的投标报价的。</w:t>
      </w:r>
    </w:p>
    <w:p w14:paraId="6BDA5462">
      <w:pPr>
        <w:spacing w:line="440" w:lineRule="exact"/>
        <w:ind w:firstLine="720" w:firstLineChars="3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26.1.4投标人不具备招标文件中规定资格要求的。</w:t>
      </w:r>
    </w:p>
    <w:p w14:paraId="0733A689">
      <w:pPr>
        <w:spacing w:line="440" w:lineRule="exact"/>
        <w:ind w:firstLine="720" w:firstLineChars="3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26.1.5投标人的报价超过了采购预算</w:t>
      </w:r>
      <w:r>
        <w:rPr>
          <w:rFonts w:hint="eastAsia" w:ascii="宋体" w:hAnsi="宋体" w:eastAsia="宋体" w:cs="宋体"/>
          <w:color w:val="auto"/>
          <w:sz w:val="24"/>
          <w:highlight w:val="none"/>
        </w:rPr>
        <w:t>或最高限价的</w:t>
      </w:r>
      <w:r>
        <w:rPr>
          <w:rFonts w:hint="eastAsia" w:ascii="宋体" w:hAnsi="宋体" w:eastAsia="宋体" w:cs="宋体"/>
          <w:color w:val="auto"/>
          <w:kern w:val="0"/>
          <w:sz w:val="24"/>
          <w:szCs w:val="24"/>
          <w:highlight w:val="none"/>
        </w:rPr>
        <w:t>。</w:t>
      </w:r>
    </w:p>
    <w:p w14:paraId="525BF082">
      <w:pPr>
        <w:spacing w:line="440" w:lineRule="exact"/>
        <w:ind w:firstLine="720" w:firstLineChars="3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26.1.6未通过符合性审查的。</w:t>
      </w:r>
    </w:p>
    <w:p w14:paraId="7C332DBF">
      <w:pPr>
        <w:spacing w:line="440" w:lineRule="exact"/>
        <w:ind w:firstLine="720" w:firstLineChars="3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26.1.7不符合招标文件中规定的实质性要求和条件的（</w:t>
      </w:r>
      <w:r>
        <w:rPr>
          <w:rFonts w:hint="eastAsia" w:ascii="宋体" w:hAnsi="宋体" w:eastAsia="宋体" w:cs="宋体"/>
          <w:b/>
          <w:bCs/>
          <w:color w:val="auto"/>
          <w:kern w:val="0"/>
          <w:sz w:val="24"/>
          <w:szCs w:val="24"/>
          <w:highlight w:val="none"/>
        </w:rPr>
        <w:t>本招标文件中标“★”的相关要求为实质性要求和条件）</w:t>
      </w:r>
      <w:r>
        <w:rPr>
          <w:rFonts w:hint="eastAsia" w:ascii="宋体" w:hAnsi="宋体" w:eastAsia="宋体" w:cs="宋体"/>
          <w:color w:val="auto"/>
          <w:kern w:val="0"/>
          <w:sz w:val="24"/>
          <w:szCs w:val="24"/>
          <w:highlight w:val="none"/>
        </w:rPr>
        <w:t>。</w:t>
      </w:r>
    </w:p>
    <w:p w14:paraId="2A04A1DA">
      <w:pPr>
        <w:spacing w:line="440" w:lineRule="exact"/>
        <w:ind w:firstLine="720" w:firstLineChars="3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26.1.8投标人被“信用中国”（www.creditchina.gov.cn）等网站列入失信被执行人或重大税收违法案件当事人名单或政府采购严重失信行为记录名单，以及存在企业经营异常名录中被责令停产停业、吊销许可证或者执照，或者对经营活动中的违法行为处以200万元以上罚款的不良信用记录。</w:t>
      </w:r>
    </w:p>
    <w:p w14:paraId="09F701CD">
      <w:pPr>
        <w:spacing w:line="440" w:lineRule="exact"/>
        <w:ind w:firstLine="720" w:firstLineChars="3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26.1.9投标文件含有采购人不能接受的附加条件的。</w:t>
      </w:r>
    </w:p>
    <w:p w14:paraId="55923267">
      <w:pPr>
        <w:spacing w:line="440" w:lineRule="exact"/>
        <w:ind w:firstLine="720" w:firstLineChars="3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26.1.10评标委员会认为投标人的报价明显低于其他通过符合性审查投标人的报价，有可能影响产品质量或者不能诚信履约的，将通过</w:t>
      </w:r>
      <w:r>
        <w:rPr>
          <w:rFonts w:hint="eastAsia" w:ascii="宋体" w:hAnsi="宋体" w:eastAsia="宋体" w:cs="宋体"/>
          <w:color w:val="auto"/>
          <w:kern w:val="0"/>
          <w:sz w:val="24"/>
          <w:szCs w:val="24"/>
          <w:highlight w:val="none"/>
        </w:rPr>
        <w:t>苏采云系统</w:t>
      </w:r>
      <w:r>
        <w:rPr>
          <w:rFonts w:hint="eastAsia" w:ascii="宋体" w:hAnsi="宋体" w:eastAsia="宋体" w:cs="宋体"/>
          <w:bCs/>
          <w:color w:val="auto"/>
          <w:kern w:val="0"/>
          <w:sz w:val="24"/>
          <w:szCs w:val="24"/>
          <w:highlight w:val="none"/>
        </w:rPr>
        <w:t>要求其在合理的时间内提供说明，必要时提交相关证明材料；投标人不能证明其报价合理性的，评标委员会应当将其作为无效投标处理。</w:t>
      </w:r>
    </w:p>
    <w:p w14:paraId="168E5F31">
      <w:pPr>
        <w:spacing w:line="440" w:lineRule="exact"/>
        <w:ind w:firstLine="720" w:firstLineChars="3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26.1.11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41E06A0E">
      <w:pPr>
        <w:spacing w:line="440" w:lineRule="exact"/>
        <w:ind w:firstLine="720" w:firstLineChars="3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26.1.12投标文件未按照招标文件要求加盖CA电子公章的。</w:t>
      </w:r>
    </w:p>
    <w:p w14:paraId="64D32147">
      <w:pPr>
        <w:spacing w:line="440" w:lineRule="exact"/>
        <w:ind w:firstLine="720" w:firstLineChars="3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26.1.13</w:t>
      </w:r>
      <w:r>
        <w:rPr>
          <w:rFonts w:hint="eastAsia" w:ascii="宋体" w:hAnsi="宋体" w:eastAsia="宋体" w:cs="宋体"/>
          <w:bCs/>
          <w:color w:val="auto"/>
          <w:sz w:val="24"/>
          <w:szCs w:val="21"/>
          <w:highlight w:val="none"/>
        </w:rPr>
        <w:t>其他法律、法规及本招标文件规定的属无效投标的情形。</w:t>
      </w:r>
    </w:p>
    <w:p w14:paraId="06598D7D">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26.2废标条款</w:t>
      </w:r>
    </w:p>
    <w:p w14:paraId="078F26E4">
      <w:pPr>
        <w:spacing w:line="440" w:lineRule="exact"/>
        <w:ind w:firstLine="720" w:firstLineChars="300"/>
        <w:rPr>
          <w:rFonts w:hint="eastAsia" w:ascii="宋体" w:hAnsi="宋体" w:eastAsia="宋体" w:cs="宋体"/>
          <w:bCs/>
          <w:color w:val="auto"/>
          <w:sz w:val="24"/>
          <w:szCs w:val="21"/>
          <w:highlight w:val="none"/>
        </w:rPr>
      </w:pPr>
      <w:r>
        <w:rPr>
          <w:rFonts w:hint="eastAsia" w:ascii="宋体" w:hAnsi="宋体" w:eastAsia="宋体" w:cs="宋体"/>
          <w:color w:val="auto"/>
          <w:kern w:val="0"/>
          <w:sz w:val="24"/>
          <w:szCs w:val="24"/>
          <w:highlight w:val="none"/>
        </w:rPr>
        <w:t>26.2.1</w:t>
      </w:r>
      <w:r>
        <w:rPr>
          <w:rFonts w:hint="eastAsia" w:ascii="宋体" w:hAnsi="宋体" w:eastAsia="宋体" w:cs="宋体"/>
          <w:bCs/>
          <w:color w:val="auto"/>
          <w:sz w:val="24"/>
          <w:szCs w:val="21"/>
          <w:highlight w:val="none"/>
        </w:rPr>
        <w:t>符合专业条件的投标人或者对招标文件作实质响应的投标人不足三家的。</w:t>
      </w:r>
    </w:p>
    <w:p w14:paraId="5B1E0318">
      <w:pPr>
        <w:spacing w:line="440" w:lineRule="exact"/>
        <w:ind w:firstLine="720" w:firstLineChars="3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26.2.2出现影响采购公正的违法、违规行为的。</w:t>
      </w:r>
    </w:p>
    <w:p w14:paraId="74B88DFB">
      <w:pPr>
        <w:spacing w:line="440" w:lineRule="exact"/>
        <w:ind w:firstLine="720" w:firstLineChars="3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26.2.3因重大变故，采购任务取消的。</w:t>
      </w:r>
    </w:p>
    <w:p w14:paraId="6136F655">
      <w:pPr>
        <w:spacing w:line="440" w:lineRule="exact"/>
        <w:ind w:firstLine="720" w:firstLineChars="3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26.2.4评标委员会认定招标文件存在歧义、重大缺陷导致评审工作无法进行。</w:t>
      </w:r>
    </w:p>
    <w:p w14:paraId="7117A238">
      <w:pPr>
        <w:spacing w:line="440" w:lineRule="exact"/>
        <w:ind w:firstLine="720" w:firstLineChars="3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26.2.5因苏采云系统系统故障原因造成开标不成功的。</w:t>
      </w:r>
    </w:p>
    <w:p w14:paraId="58D79A9A">
      <w:pPr>
        <w:spacing w:line="440" w:lineRule="exact"/>
        <w:ind w:firstLine="720" w:firstLineChars="3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26.2.6</w:t>
      </w:r>
      <w:r>
        <w:rPr>
          <w:rFonts w:hint="eastAsia" w:ascii="宋体" w:hAnsi="宋体" w:eastAsia="宋体" w:cs="宋体"/>
          <w:color w:val="auto"/>
          <w:sz w:val="24"/>
          <w:highlight w:val="none"/>
        </w:rPr>
        <w:t>投标文件接受截止时间结束后参加投标的投标人不足</w:t>
      </w:r>
      <w:r>
        <w:rPr>
          <w:rFonts w:hint="eastAsia" w:ascii="宋体" w:hAnsi="宋体" w:eastAsia="宋体" w:cs="宋体"/>
          <w:color w:val="auto"/>
          <w:kern w:val="0"/>
          <w:sz w:val="24"/>
          <w:szCs w:val="24"/>
          <w:highlight w:val="none"/>
        </w:rPr>
        <w:t>三家的处理：</w:t>
      </w:r>
    </w:p>
    <w:p w14:paraId="628B8B96">
      <w:pPr>
        <w:spacing w:line="440" w:lineRule="exact"/>
        <w:ind w:firstLine="720" w:firstLineChars="3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26.2.7如出现投标截止时间结束后参加投标的投标人或者在评标期间对招标文件做出实质响应的投标人不足三家情况，按政府采购相关规定执行。</w:t>
      </w:r>
    </w:p>
    <w:p w14:paraId="0F1BB60A">
      <w:pPr>
        <w:keepNext/>
        <w:keepLines/>
        <w:spacing w:before="152" w:beforeLines="50" w:after="152" w:afterLines="50" w:line="440" w:lineRule="exact"/>
        <w:outlineLvl w:val="2"/>
        <w:rPr>
          <w:rFonts w:hint="eastAsia" w:ascii="宋体" w:hAnsi="宋体" w:eastAsia="宋体" w:cs="宋体"/>
          <w:b/>
          <w:bCs/>
          <w:color w:val="auto"/>
          <w:sz w:val="32"/>
          <w:szCs w:val="32"/>
          <w:highlight w:val="none"/>
        </w:rPr>
      </w:pPr>
      <w:bookmarkStart w:id="77" w:name="_Toc15817"/>
      <w:bookmarkStart w:id="78" w:name="_Toc19188"/>
      <w:bookmarkStart w:id="79" w:name="_Toc17432"/>
      <w:bookmarkStart w:id="80" w:name="_Toc48"/>
      <w:bookmarkStart w:id="81" w:name="_Toc13187"/>
      <w:bookmarkStart w:id="82" w:name="_Toc9362"/>
      <w:bookmarkStart w:id="83" w:name="_Toc25740"/>
      <w:bookmarkStart w:id="84" w:name="_Toc30141"/>
      <w:bookmarkStart w:id="85" w:name="_Toc881"/>
      <w:bookmarkStart w:id="86" w:name="_Toc207"/>
      <w:bookmarkStart w:id="87" w:name="_Toc6218"/>
      <w:r>
        <w:rPr>
          <w:rFonts w:hint="eastAsia" w:ascii="宋体" w:hAnsi="宋体" w:eastAsia="宋体" w:cs="宋体"/>
          <w:b/>
          <w:bCs/>
          <w:color w:val="auto"/>
          <w:sz w:val="32"/>
          <w:szCs w:val="32"/>
          <w:highlight w:val="none"/>
        </w:rPr>
        <w:t>六、</w:t>
      </w:r>
      <w:bookmarkEnd w:id="77"/>
      <w:bookmarkEnd w:id="78"/>
      <w:bookmarkEnd w:id="79"/>
      <w:bookmarkEnd w:id="80"/>
      <w:bookmarkEnd w:id="81"/>
      <w:bookmarkEnd w:id="82"/>
      <w:r>
        <w:rPr>
          <w:rFonts w:hint="eastAsia" w:ascii="宋体" w:hAnsi="宋体" w:eastAsia="宋体" w:cs="宋体"/>
          <w:b/>
          <w:bCs/>
          <w:color w:val="auto"/>
          <w:sz w:val="32"/>
          <w:szCs w:val="32"/>
          <w:highlight w:val="none"/>
        </w:rPr>
        <w:t>定标</w:t>
      </w:r>
      <w:bookmarkEnd w:id="83"/>
      <w:bookmarkEnd w:id="84"/>
      <w:bookmarkEnd w:id="85"/>
      <w:bookmarkEnd w:id="86"/>
      <w:bookmarkEnd w:id="87"/>
    </w:p>
    <w:p w14:paraId="2125D535">
      <w:pPr>
        <w:keepNext/>
        <w:keepLines/>
        <w:spacing w:line="440" w:lineRule="exact"/>
        <w:ind w:firstLine="138" w:firstLineChars="49"/>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27、确定中标单位</w:t>
      </w:r>
    </w:p>
    <w:p w14:paraId="159E0717">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27.1中标候选人的选取原则和数量见招标文件第五章规定。 </w:t>
      </w:r>
    </w:p>
    <w:p w14:paraId="6AE5AD8C">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27.2 采购人应根据评委会推荐的中标候选人确定中标人。</w:t>
      </w:r>
    </w:p>
    <w:p w14:paraId="1233CEF6">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27.3 代理机构将在指定媒体上发布中标公告，公告期限为1个工作日。</w:t>
      </w:r>
    </w:p>
    <w:p w14:paraId="5DABC444">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27.4  若有充分证据证明，中标人出现下列情况之一的，一经查实，将被取消中标资格：</w:t>
      </w:r>
    </w:p>
    <w:p w14:paraId="20F611CB">
      <w:pPr>
        <w:spacing w:line="440" w:lineRule="exact"/>
        <w:ind w:firstLine="787" w:firstLineChars="328"/>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27.4.1提供虚假材料谋取中标的。</w:t>
      </w:r>
    </w:p>
    <w:p w14:paraId="407C1C99">
      <w:pPr>
        <w:spacing w:line="440" w:lineRule="exact"/>
        <w:ind w:firstLine="787" w:firstLineChars="328"/>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27.4.2向采购人、代理机构行贿或者提供其他不正当利益的。</w:t>
      </w:r>
    </w:p>
    <w:p w14:paraId="27230B15">
      <w:pPr>
        <w:spacing w:line="440" w:lineRule="exact"/>
        <w:ind w:firstLine="787" w:firstLineChars="328"/>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27.4.3属于本文件规定的无效条件，但在评标过程中又未被评委会发现的。</w:t>
      </w:r>
    </w:p>
    <w:p w14:paraId="522325CD">
      <w:pPr>
        <w:spacing w:line="440" w:lineRule="exact"/>
        <w:ind w:firstLine="787" w:firstLineChars="328"/>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27.4.4与采购人或者其他投标人恶意串通的。</w:t>
      </w:r>
    </w:p>
    <w:p w14:paraId="5FBA4976">
      <w:pPr>
        <w:spacing w:line="440" w:lineRule="exact"/>
        <w:ind w:firstLine="787" w:firstLineChars="328"/>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27.4.5采取不正当手段诋毁、排挤其他投标人的。</w:t>
      </w:r>
    </w:p>
    <w:p w14:paraId="183E530A">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27.5. 有下列情形之一的，视为投标人串通投标，投标无效：</w:t>
      </w:r>
    </w:p>
    <w:p w14:paraId="3E9132EC">
      <w:pPr>
        <w:spacing w:line="440" w:lineRule="exact"/>
        <w:ind w:firstLine="787" w:firstLineChars="328"/>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27.5.1不同投标人的投标文件由同一单位或者个人编制；</w:t>
      </w:r>
    </w:p>
    <w:p w14:paraId="792B553B">
      <w:pPr>
        <w:spacing w:line="440" w:lineRule="exact"/>
        <w:ind w:firstLine="787" w:firstLineChars="328"/>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27.5.2不同投标人委托同一单位或者个人办理投标事宜；</w:t>
      </w:r>
    </w:p>
    <w:p w14:paraId="5A1B8D35">
      <w:pPr>
        <w:spacing w:line="440" w:lineRule="exact"/>
        <w:ind w:firstLine="787" w:firstLineChars="328"/>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27.5.3 不同投标人的投标文件载明的项目管理成员或者联系人员为同一人；</w:t>
      </w:r>
    </w:p>
    <w:p w14:paraId="3B3EE37C">
      <w:pPr>
        <w:spacing w:line="440" w:lineRule="exact"/>
        <w:ind w:firstLine="787" w:firstLineChars="328"/>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28.5.4不同投标人的投标文件异常一致或者投标报价呈规律性差异。</w:t>
      </w:r>
    </w:p>
    <w:p w14:paraId="6D72D5C0">
      <w:pPr>
        <w:keepNext/>
        <w:keepLines/>
        <w:spacing w:line="440" w:lineRule="exact"/>
        <w:ind w:firstLine="138" w:firstLineChars="49"/>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28、质疑处理</w:t>
      </w:r>
    </w:p>
    <w:p w14:paraId="02703A78">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28.1 提出质疑的投标人应当是参与所质疑项目采购活动的投标人，潜在投标人已依法获取其可质疑的招标文件的，可以对该文件提出质疑。请将</w:t>
      </w:r>
      <w:bookmarkStart w:id="88" w:name="_Hlk98510751"/>
      <w:r>
        <w:rPr>
          <w:rFonts w:hint="eastAsia" w:ascii="宋体" w:hAnsi="宋体" w:eastAsia="宋体" w:cs="宋体"/>
          <w:color w:val="auto"/>
          <w:kern w:val="0"/>
          <w:sz w:val="24"/>
          <w:szCs w:val="24"/>
          <w:highlight w:val="none"/>
        </w:rPr>
        <w:t>获取采购文件后打印留存的《投标供应商确认函》等</w:t>
      </w:r>
      <w:bookmarkEnd w:id="88"/>
      <w:r>
        <w:rPr>
          <w:rFonts w:hint="eastAsia" w:ascii="宋体" w:hAnsi="宋体" w:eastAsia="宋体" w:cs="宋体"/>
          <w:color w:val="auto"/>
          <w:kern w:val="0"/>
          <w:sz w:val="24"/>
          <w:szCs w:val="24"/>
          <w:highlight w:val="none"/>
        </w:rPr>
        <w:t>必要的证明材料与质疑函一起递交，否则不予受理。</w:t>
      </w:r>
    </w:p>
    <w:p w14:paraId="6AAF6629">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投标人对采购方式、招标文件中采购需求、投标人资格条件、评标方法和评标标准、合同文本及资格审查结果的询问、质疑请向采购人提出，由采购人负责答复。投标人对其他事项的询问、质疑请向代理机构提出，由代理机构负责答复。</w:t>
      </w:r>
    </w:p>
    <w:p w14:paraId="5206878A">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28.2 投标人认为招标文件、采购过程和采购结果使自己的权益受到损害的，可以在知道或应知其权益受到损害之日起七个工作日内，以书面形式向采购人或代理机构提出质疑。上述应知其权益受到损害之日，是指：</w:t>
      </w:r>
    </w:p>
    <w:p w14:paraId="3125C269">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（1）对可以质疑的招标文件提出质疑的，为收到招标文件之日或者招标文件公告期限届满之日；</w:t>
      </w:r>
    </w:p>
    <w:p w14:paraId="30916033">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（2）对采购过程提出质疑的，为各采购程序环节结束之日；</w:t>
      </w:r>
    </w:p>
    <w:p w14:paraId="369AA722">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（3）对中标或者中标结果提出质疑的，为中标或者中标结果公告期限届满之日。</w:t>
      </w:r>
    </w:p>
    <w:p w14:paraId="4BA75606">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投标人应当在法定质疑期内一次性提出针对同一采购程序环节的质疑。投标人如在法定期限内对同一采购程序环节提出多次质疑的，代理机构、采购人将只对投标人第一次质疑作出答复。</w:t>
      </w:r>
    </w:p>
    <w:p w14:paraId="57604CF4">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28.3 投标人提出质疑应当提交质疑函和必要的证明材料，其中质疑函必须按照《质疑函范本》要求的格式和内容进行填写。投标人如组成联合体参加投标，则《质疑函范本》中要求签字、盖章、加盖公章之处，联合体各方均须按要求签字、盖章、加盖公章。</w:t>
      </w:r>
    </w:p>
    <w:p w14:paraId="0BA14E1A">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28.4 代理机构及采购人只接收以纸质原件形式送达（当场送达或邮寄方式）的质疑。</w:t>
      </w:r>
    </w:p>
    <w:p w14:paraId="6121A3C9">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代理机构质疑接收部门为：涵熙（苏州）工程顾问有限公司，联系地址：常熟市山茶花路10号。</w:t>
      </w:r>
    </w:p>
    <w:p w14:paraId="6F1BCED7">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质疑接收人及联系方式见招标文件“第一章 投标邀请”。</w:t>
      </w:r>
    </w:p>
    <w:p w14:paraId="7BBB605C">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28.5 以下情形的质疑不予受理</w:t>
      </w:r>
    </w:p>
    <w:p w14:paraId="41EAE83B">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（1）内容不符合《政府采购质疑和投诉办法》第十二条规定的质疑。</w:t>
      </w:r>
    </w:p>
    <w:p w14:paraId="4AB06F1E">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（2）超出政府采购法定期限的质疑。</w:t>
      </w:r>
    </w:p>
    <w:p w14:paraId="05916CB5">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（3）以传真、电子邮件等方式递交的非原件形式的质疑。</w:t>
      </w:r>
    </w:p>
    <w:p w14:paraId="03431725">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（4）未参加投标活动的投标人或在投标活动中自身权益未受到损害的投标人所提出的质疑。</w:t>
      </w:r>
    </w:p>
    <w:p w14:paraId="339D9588">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（5）如投标人组成联合体参加投标，联合体中任何一方或多方未按要求签字或盖章、加盖公章的质疑。</w:t>
      </w:r>
    </w:p>
    <w:p w14:paraId="0681B3CA">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28.6 投标人提出书面质疑必须有理、有据，不得捏造事实、提供虚假材料进行恶意质疑。否则一经查实，代理机构有权依据政府采购的有关规定，报请政府采购监管部门对该投标人进行相应的行政处罚和记录该投标人的失信信息。</w:t>
      </w:r>
    </w:p>
    <w:p w14:paraId="2DBDB87B">
      <w:pPr>
        <w:keepNext/>
        <w:keepLines/>
        <w:spacing w:line="440" w:lineRule="exact"/>
        <w:ind w:firstLine="138" w:firstLineChars="49"/>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29、中标通知书</w:t>
      </w:r>
    </w:p>
    <w:p w14:paraId="6BD4A3B6">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29.1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7F20E865">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29.2中标通知书将是合同的一个组成部分。对采购人和中标人均具有法律效力。中标通知书发出后，采购人改变中标结果的，或者中标人放弃中标项目的，应当依法承担法律责任。</w:t>
      </w:r>
    </w:p>
    <w:p w14:paraId="4E1C718F">
      <w:pPr>
        <w:keepNext/>
        <w:keepLines/>
        <w:spacing w:before="152" w:beforeLines="50" w:after="152" w:afterLines="50" w:line="440" w:lineRule="exact"/>
        <w:outlineLvl w:val="2"/>
        <w:rPr>
          <w:rFonts w:hint="eastAsia" w:ascii="宋体" w:hAnsi="宋体" w:eastAsia="宋体" w:cs="宋体"/>
          <w:b/>
          <w:bCs/>
          <w:color w:val="auto"/>
          <w:sz w:val="32"/>
          <w:szCs w:val="32"/>
          <w:highlight w:val="none"/>
        </w:rPr>
      </w:pPr>
      <w:bookmarkStart w:id="89" w:name="_Toc1951"/>
      <w:bookmarkStart w:id="90" w:name="_Toc31598"/>
      <w:bookmarkStart w:id="91" w:name="_Toc4987"/>
      <w:bookmarkStart w:id="92" w:name="_Toc8381"/>
      <w:bookmarkStart w:id="93" w:name="_Toc31645"/>
      <w:bookmarkStart w:id="94" w:name="_Toc11451"/>
      <w:bookmarkStart w:id="95" w:name="_Toc22686"/>
      <w:bookmarkStart w:id="96" w:name="_Toc21840"/>
      <w:bookmarkStart w:id="97" w:name="_Toc17654"/>
      <w:bookmarkStart w:id="98" w:name="_Toc24233"/>
      <w:bookmarkStart w:id="99" w:name="_Toc19849"/>
      <w:r>
        <w:rPr>
          <w:rFonts w:hint="eastAsia" w:ascii="宋体" w:hAnsi="宋体" w:eastAsia="宋体" w:cs="宋体"/>
          <w:b/>
          <w:bCs/>
          <w:color w:val="auto"/>
          <w:sz w:val="32"/>
          <w:szCs w:val="32"/>
          <w:highlight w:val="none"/>
        </w:rPr>
        <w:t>七、授予合同</w:t>
      </w:r>
      <w:bookmarkEnd w:id="89"/>
      <w:bookmarkEnd w:id="90"/>
      <w:bookmarkEnd w:id="91"/>
      <w:bookmarkEnd w:id="92"/>
      <w:bookmarkEnd w:id="93"/>
      <w:bookmarkEnd w:id="94"/>
      <w:bookmarkEnd w:id="95"/>
      <w:bookmarkEnd w:id="96"/>
      <w:bookmarkEnd w:id="97"/>
      <w:bookmarkEnd w:id="98"/>
      <w:bookmarkEnd w:id="99"/>
    </w:p>
    <w:p w14:paraId="6648F285">
      <w:pPr>
        <w:keepNext/>
        <w:keepLines/>
        <w:spacing w:line="440" w:lineRule="exact"/>
        <w:ind w:firstLine="138" w:firstLineChars="49"/>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30、签订合同</w:t>
      </w:r>
    </w:p>
    <w:p w14:paraId="073E17D7">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30.l中标人应当在中标通知书发出之日起三十日内，按照招标文件确定的事项与采购人签订政府采购合同。</w:t>
      </w:r>
    </w:p>
    <w:p w14:paraId="4B4DD6DF">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30.2招标文件、中标人的投标文件及投标过程中有关澄清、承诺文件均应作为合同附件。</w:t>
      </w:r>
    </w:p>
    <w:p w14:paraId="3D9792C3">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30.3签订合同后，中标人不得将合同标的进行转包。未经采购人同意，中标人也不得采用分包的形式履行合同，否则采购人有权终止合同。转包或分包造成采购人损失的，中标人应承担相应赔偿责任。</w:t>
      </w:r>
    </w:p>
    <w:p w14:paraId="39220630">
      <w:pPr>
        <w:keepNext/>
        <w:keepLines/>
        <w:spacing w:line="440" w:lineRule="exact"/>
        <w:ind w:firstLine="138" w:firstLineChars="49"/>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31、标的物的追加</w:t>
      </w:r>
    </w:p>
    <w:p w14:paraId="387770CE">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31.1政府采购合同履行中，采购人需追加与合同标的相同的货物、服务（包含与货物相关的服务及与服务相关的货物）的，在不改变合同其他条款的前提下，可以与中标人协商签订补充合同，但所有补充合同的采购金额不超过原合同金额10%。</w:t>
      </w:r>
    </w:p>
    <w:p w14:paraId="58DFF6D2">
      <w:pPr>
        <w:keepNext/>
        <w:keepLines/>
        <w:spacing w:line="440" w:lineRule="exact"/>
        <w:ind w:firstLine="138" w:firstLineChars="49"/>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32、政府采购履约资金扶持政策</w:t>
      </w:r>
    </w:p>
    <w:p w14:paraId="06DA2FD0">
      <w:pPr>
        <w:tabs>
          <w:tab w:val="left" w:pos="200"/>
        </w:tabs>
        <w:spacing w:line="44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中标人可凭政府采购合同办理融资贷款，详情请见苏州市政府采购网“政府采购合同信用融资”专栏。</w:t>
      </w:r>
    </w:p>
    <w:p w14:paraId="01C6360E">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highlight w:val="none"/>
        </w:rPr>
        <w:br w:type="page"/>
      </w:r>
    </w:p>
    <w:p w14:paraId="5437CDAA">
      <w:pPr>
        <w:pStyle w:val="2"/>
        <w:rPr>
          <w:rFonts w:hint="eastAsia" w:ascii="宋体" w:hAnsi="宋体" w:eastAsia="宋体" w:cs="宋体"/>
          <w:color w:val="auto"/>
          <w:highlight w:val="none"/>
        </w:rPr>
      </w:pPr>
      <w:bookmarkStart w:id="100" w:name="_Toc9908"/>
      <w:bookmarkStart w:id="101" w:name="_Toc32533"/>
      <w:bookmarkStart w:id="102" w:name="_Toc315868058"/>
      <w:bookmarkStart w:id="103" w:name="_Toc158691774"/>
      <w:bookmarkStart w:id="104" w:name="_Toc315875321"/>
      <w:r>
        <w:rPr>
          <w:rFonts w:hint="eastAsia" w:ascii="宋体" w:hAnsi="宋体" w:eastAsia="宋体" w:cs="宋体"/>
          <w:color w:val="auto"/>
          <w:highlight w:val="none"/>
        </w:rPr>
        <w:t>第三章 合同</w:t>
      </w:r>
      <w:bookmarkEnd w:id="100"/>
      <w:r>
        <w:rPr>
          <w:rFonts w:hint="eastAsia" w:ascii="宋体" w:hAnsi="宋体" w:eastAsia="宋体" w:cs="宋体"/>
          <w:color w:val="auto"/>
          <w:highlight w:val="none"/>
        </w:rPr>
        <w:t>文本</w:t>
      </w:r>
      <w:bookmarkEnd w:id="101"/>
    </w:p>
    <w:p w14:paraId="62C98FE4">
      <w:pPr>
        <w:spacing w:before="305" w:beforeLines="100"/>
        <w:ind w:right="105" w:rightChars="50" w:firstLine="6720" w:firstLineChars="2800"/>
        <w:rPr>
          <w:rFonts w:hint="eastAsia" w:ascii="宋体" w:hAnsi="宋体" w:eastAsia="宋体" w:cs="宋体"/>
          <w:b/>
          <w:bCs/>
          <w:color w:val="auto"/>
          <w:kern w:val="0"/>
          <w:sz w:val="72"/>
          <w:szCs w:val="72"/>
          <w:highlight w:val="none"/>
        </w:rPr>
      </w:pPr>
      <w:r>
        <w:rPr>
          <w:rFonts w:hint="eastAsia" w:ascii="宋体" w:hAnsi="宋体" w:eastAsia="宋体" w:cs="宋体"/>
          <w:color w:val="auto"/>
          <w:sz w:val="24"/>
          <w:szCs w:val="24"/>
          <w:highlight w:val="none"/>
        </w:rPr>
        <w:t>合同编号：</w:t>
      </w:r>
    </w:p>
    <w:p w14:paraId="16E92AC6">
      <w:pPr>
        <w:spacing w:before="305" w:beforeLines="100"/>
        <w:ind w:right="105" w:rightChars="50" w:firstLine="2530" w:firstLineChars="350"/>
        <w:rPr>
          <w:rFonts w:hint="eastAsia" w:ascii="宋体" w:hAnsi="宋体" w:eastAsia="宋体" w:cs="宋体"/>
          <w:b/>
          <w:bCs/>
          <w:color w:val="auto"/>
          <w:kern w:val="0"/>
          <w:sz w:val="72"/>
          <w:szCs w:val="72"/>
          <w:highlight w:val="none"/>
        </w:rPr>
      </w:pPr>
    </w:p>
    <w:p w14:paraId="29A8DA3D">
      <w:pPr>
        <w:spacing w:before="305" w:beforeLines="100"/>
        <w:ind w:right="105" w:rightChars="50" w:firstLine="2530" w:firstLineChars="350"/>
        <w:rPr>
          <w:rFonts w:hint="eastAsia" w:ascii="宋体" w:hAnsi="宋体" w:eastAsia="宋体" w:cs="宋体"/>
          <w:b/>
          <w:bCs/>
          <w:color w:val="auto"/>
          <w:kern w:val="0"/>
          <w:sz w:val="72"/>
          <w:szCs w:val="72"/>
          <w:highlight w:val="none"/>
        </w:rPr>
      </w:pPr>
      <w:r>
        <w:rPr>
          <w:rFonts w:hint="eastAsia" w:ascii="宋体" w:hAnsi="宋体" w:eastAsia="宋体" w:cs="宋体"/>
          <w:b/>
          <w:bCs/>
          <w:color w:val="auto"/>
          <w:kern w:val="0"/>
          <w:sz w:val="72"/>
          <w:szCs w:val="72"/>
          <w:highlight w:val="none"/>
        </w:rPr>
        <w:t>政府采购合同</w:t>
      </w:r>
    </w:p>
    <w:p w14:paraId="369332DD">
      <w:pPr>
        <w:spacing w:line="420" w:lineRule="exact"/>
        <w:ind w:firstLine="1807" w:firstLineChars="250"/>
        <w:rPr>
          <w:rFonts w:hint="eastAsia" w:ascii="宋体" w:hAnsi="宋体" w:eastAsia="宋体" w:cs="宋体"/>
          <w:b/>
          <w:bCs/>
          <w:color w:val="auto"/>
          <w:kern w:val="0"/>
          <w:sz w:val="72"/>
          <w:szCs w:val="72"/>
          <w:highlight w:val="none"/>
        </w:rPr>
      </w:pPr>
    </w:p>
    <w:p w14:paraId="3D205243">
      <w:pPr>
        <w:spacing w:line="420" w:lineRule="exact"/>
        <w:ind w:firstLine="1807" w:firstLineChars="250"/>
        <w:rPr>
          <w:rFonts w:hint="eastAsia" w:ascii="宋体" w:hAnsi="宋体" w:eastAsia="宋体" w:cs="宋体"/>
          <w:b/>
          <w:bCs/>
          <w:color w:val="auto"/>
          <w:kern w:val="0"/>
          <w:sz w:val="72"/>
          <w:szCs w:val="72"/>
          <w:highlight w:val="none"/>
        </w:rPr>
      </w:pPr>
    </w:p>
    <w:p w14:paraId="2CC2930F">
      <w:pPr>
        <w:autoSpaceDE w:val="0"/>
        <w:autoSpaceDN w:val="0"/>
        <w:adjustRightInd w:val="0"/>
        <w:spacing w:line="480" w:lineRule="exact"/>
        <w:ind w:firstLine="200"/>
        <w:jc w:val="center"/>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第一部分 合同书</w:t>
      </w:r>
    </w:p>
    <w:p w14:paraId="491EFD18">
      <w:pPr>
        <w:widowControl/>
        <w:spacing w:before="120" w:after="160" w:line="22" w:lineRule="atLeast"/>
        <w:rPr>
          <w:rFonts w:hint="eastAsia" w:ascii="宋体" w:hAnsi="宋体" w:eastAsia="宋体" w:cs="宋体"/>
          <w:bCs/>
          <w:color w:val="auto"/>
          <w:kern w:val="0"/>
          <w:sz w:val="24"/>
          <w:szCs w:val="24"/>
          <w:highlight w:val="none"/>
        </w:rPr>
      </w:pPr>
    </w:p>
    <w:p w14:paraId="5E47828B">
      <w:pPr>
        <w:widowControl/>
        <w:spacing w:before="120" w:after="160" w:line="22" w:lineRule="atLeast"/>
        <w:jc w:val="center"/>
        <w:rPr>
          <w:rFonts w:hint="eastAsia" w:ascii="宋体" w:hAnsi="宋体" w:eastAsia="宋体" w:cs="宋体"/>
          <w:b/>
          <w:bCs/>
          <w:color w:val="auto"/>
          <w:kern w:val="0"/>
          <w:sz w:val="36"/>
          <w:szCs w:val="36"/>
          <w:highlight w:val="none"/>
          <w:u w:val="single"/>
          <w:lang w:eastAsia="zh-CN"/>
        </w:rPr>
      </w:pPr>
      <w:r>
        <w:rPr>
          <w:rFonts w:hint="eastAsia" w:ascii="宋体" w:hAnsi="宋体" w:eastAsia="宋体" w:cs="宋体"/>
          <w:b/>
          <w:bCs/>
          <w:color w:val="auto"/>
          <w:kern w:val="0"/>
          <w:sz w:val="36"/>
          <w:szCs w:val="36"/>
          <w:highlight w:val="none"/>
        </w:rPr>
        <w:t>项目名称：</w:t>
      </w:r>
      <w:r>
        <w:rPr>
          <w:rFonts w:hint="eastAsia" w:ascii="宋体" w:hAnsi="宋体" w:eastAsia="宋体" w:cs="宋体"/>
          <w:color w:val="auto"/>
          <w:sz w:val="36"/>
          <w:szCs w:val="36"/>
          <w:highlight w:val="none"/>
          <w:u w:val="single"/>
          <w:lang w:eastAsia="zh-CN"/>
        </w:rPr>
        <w:t>2026年古里镇雨污水管网养护及零星维修项目</w:t>
      </w:r>
    </w:p>
    <w:p w14:paraId="771F2313">
      <w:pPr>
        <w:widowControl/>
        <w:spacing w:before="120" w:after="160" w:line="22" w:lineRule="atLeast"/>
        <w:ind w:firstLine="1807" w:firstLineChars="500"/>
        <w:rPr>
          <w:rFonts w:hint="eastAsia" w:ascii="宋体" w:hAnsi="宋体" w:eastAsia="宋体" w:cs="宋体"/>
          <w:b/>
          <w:bCs/>
          <w:color w:val="auto"/>
          <w:kern w:val="0"/>
          <w:sz w:val="36"/>
          <w:szCs w:val="36"/>
          <w:highlight w:val="none"/>
          <w:lang w:eastAsia="zh-CN"/>
        </w:rPr>
      </w:pPr>
      <w:r>
        <w:rPr>
          <w:rFonts w:hint="eastAsia" w:ascii="宋体" w:hAnsi="宋体" w:eastAsia="宋体" w:cs="宋体"/>
          <w:b/>
          <w:bCs/>
          <w:color w:val="auto"/>
          <w:kern w:val="0"/>
          <w:sz w:val="36"/>
          <w:szCs w:val="36"/>
          <w:highlight w:val="none"/>
        </w:rPr>
        <w:t>项目编号：</w:t>
      </w:r>
      <w:r>
        <w:rPr>
          <w:rFonts w:hint="eastAsia" w:ascii="宋体" w:hAnsi="宋体" w:cs="宋体"/>
          <w:color w:val="auto"/>
          <w:sz w:val="36"/>
          <w:szCs w:val="36"/>
          <w:highlight w:val="none"/>
          <w:u w:val="single"/>
          <w:lang w:eastAsia="zh-CN"/>
        </w:rPr>
        <w:t>JSZC-320581-HXGW-G2025-0077</w:t>
      </w:r>
    </w:p>
    <w:p w14:paraId="4F16CBFB">
      <w:pPr>
        <w:spacing w:line="420" w:lineRule="exact"/>
        <w:ind w:firstLine="1807" w:firstLineChars="250"/>
        <w:rPr>
          <w:rFonts w:hint="eastAsia" w:ascii="宋体" w:hAnsi="宋体" w:eastAsia="宋体" w:cs="宋体"/>
          <w:b/>
          <w:bCs/>
          <w:color w:val="auto"/>
          <w:kern w:val="0"/>
          <w:sz w:val="72"/>
          <w:szCs w:val="72"/>
          <w:highlight w:val="none"/>
        </w:rPr>
      </w:pPr>
    </w:p>
    <w:p w14:paraId="7B8449F4">
      <w:pPr>
        <w:spacing w:before="120" w:line="22" w:lineRule="atLeast"/>
        <w:ind w:left="960" w:firstLine="840" w:firstLineChars="35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甲方（采  购  人）：</w:t>
      </w:r>
      <w:r>
        <w:rPr>
          <w:rFonts w:hint="eastAsia" w:ascii="宋体" w:hAnsi="宋体" w:eastAsia="宋体" w:cs="宋体"/>
          <w:bCs/>
          <w:color w:val="auto"/>
          <w:sz w:val="24"/>
          <w:szCs w:val="24"/>
          <w:highlight w:val="none"/>
          <w:u w:val="single"/>
        </w:rPr>
        <w:t xml:space="preserve">                                   </w:t>
      </w:r>
    </w:p>
    <w:p w14:paraId="70A72BB8">
      <w:pPr>
        <w:spacing w:before="120" w:line="22" w:lineRule="atLeast"/>
        <w:ind w:left="960" w:firstLine="840" w:firstLineChars="35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乙方（中  标  人）：</w:t>
      </w:r>
      <w:r>
        <w:rPr>
          <w:rFonts w:hint="eastAsia" w:ascii="宋体" w:hAnsi="宋体" w:eastAsia="宋体" w:cs="宋体"/>
          <w:bCs/>
          <w:color w:val="auto"/>
          <w:sz w:val="24"/>
          <w:szCs w:val="24"/>
          <w:highlight w:val="none"/>
          <w:u w:val="single"/>
        </w:rPr>
        <w:t xml:space="preserve">                                   </w:t>
      </w:r>
    </w:p>
    <w:p w14:paraId="4B68AEF0">
      <w:pPr>
        <w:spacing w:before="120" w:line="22" w:lineRule="atLeast"/>
        <w:ind w:left="960" w:firstLine="840" w:firstLineChars="35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信用融资回款账户：</w:t>
      </w:r>
      <w:r>
        <w:rPr>
          <w:rFonts w:hint="eastAsia" w:ascii="宋体" w:hAnsi="宋体" w:eastAsia="宋体" w:cs="宋体"/>
          <w:bCs/>
          <w:color w:val="auto"/>
          <w:sz w:val="24"/>
          <w:szCs w:val="24"/>
          <w:highlight w:val="none"/>
          <w:u w:val="single"/>
        </w:rPr>
        <w:t xml:space="preserve">                                   </w:t>
      </w:r>
    </w:p>
    <w:p w14:paraId="0879CEC1">
      <w:pPr>
        <w:spacing w:before="120" w:line="22" w:lineRule="atLeast"/>
        <w:ind w:left="960" w:firstLine="840" w:firstLineChars="35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开户银行：</w:t>
      </w:r>
      <w:r>
        <w:rPr>
          <w:rFonts w:hint="eastAsia" w:ascii="宋体" w:hAnsi="宋体" w:eastAsia="宋体" w:cs="宋体"/>
          <w:bCs/>
          <w:color w:val="auto"/>
          <w:sz w:val="24"/>
          <w:szCs w:val="24"/>
          <w:highlight w:val="none"/>
          <w:u w:val="single"/>
        </w:rPr>
        <w:t xml:space="preserve">                                   </w:t>
      </w:r>
    </w:p>
    <w:p w14:paraId="03C1C32C">
      <w:pPr>
        <w:spacing w:before="120" w:line="22" w:lineRule="atLeast"/>
        <w:ind w:firstLine="1800" w:firstLineChars="75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签 订 地：</w:t>
      </w:r>
      <w:r>
        <w:rPr>
          <w:rFonts w:hint="eastAsia" w:ascii="宋体" w:hAnsi="宋体" w:eastAsia="宋体" w:cs="宋体"/>
          <w:bCs/>
          <w:color w:val="auto"/>
          <w:sz w:val="24"/>
          <w:szCs w:val="24"/>
          <w:highlight w:val="none"/>
          <w:u w:val="single"/>
        </w:rPr>
        <w:t xml:space="preserve">            常熟市                </w:t>
      </w:r>
    </w:p>
    <w:p w14:paraId="409454FC">
      <w:pPr>
        <w:spacing w:before="120" w:line="22" w:lineRule="atLeast"/>
        <w:ind w:firstLine="1800" w:firstLineChars="750"/>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签订日期：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5F525EE7">
      <w:pPr>
        <w:spacing w:line="440" w:lineRule="exact"/>
        <w:ind w:firstLine="480" w:firstLineChars="200"/>
        <w:rPr>
          <w:rFonts w:hint="eastAsia" w:ascii="宋体" w:hAnsi="宋体" w:eastAsia="宋体" w:cs="宋体"/>
          <w:color w:val="auto"/>
          <w:sz w:val="24"/>
          <w:szCs w:val="24"/>
          <w:highlight w:val="none"/>
          <w:u w:val="single"/>
          <w:lang w:val="zh-CN"/>
        </w:rPr>
      </w:pPr>
    </w:p>
    <w:p w14:paraId="7D167B8D">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zh-CN"/>
        </w:rPr>
        <w:br w:type="page"/>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年</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月</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日</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（采购人名称）   </w:t>
      </w:r>
      <w:r>
        <w:rPr>
          <w:rFonts w:hint="eastAsia" w:ascii="宋体" w:hAnsi="宋体" w:eastAsia="宋体" w:cs="宋体"/>
          <w:color w:val="auto"/>
          <w:sz w:val="24"/>
          <w:szCs w:val="24"/>
          <w:highlight w:val="none"/>
        </w:rPr>
        <w:t>以</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公开招标</w:t>
      </w:r>
      <w:r>
        <w:rPr>
          <w:rFonts w:hint="eastAsia" w:ascii="宋体" w:hAnsi="宋体" w:eastAsia="宋体" w:cs="宋体"/>
          <w:color w:val="auto"/>
          <w:sz w:val="24"/>
          <w:szCs w:val="24"/>
          <w:highlight w:val="none"/>
        </w:rPr>
        <w:t xml:space="preserve"> 对</w:t>
      </w:r>
      <w:r>
        <w:rPr>
          <w:rFonts w:hint="eastAsia" w:ascii="宋体" w:hAnsi="宋体" w:eastAsia="宋体" w:cs="宋体"/>
          <w:color w:val="auto"/>
          <w:sz w:val="24"/>
          <w:szCs w:val="24"/>
          <w:highlight w:val="none"/>
          <w:u w:val="single"/>
        </w:rPr>
        <w:t xml:space="preserve">   （同前页项目名称）   </w:t>
      </w:r>
      <w:r>
        <w:rPr>
          <w:rFonts w:hint="eastAsia" w:ascii="宋体" w:hAnsi="宋体" w:eastAsia="宋体" w:cs="宋体"/>
          <w:color w:val="auto"/>
          <w:sz w:val="24"/>
          <w:szCs w:val="24"/>
          <w:highlight w:val="none"/>
        </w:rPr>
        <w:t>项目进行了采购。经</w:t>
      </w:r>
      <w:r>
        <w:rPr>
          <w:rFonts w:hint="eastAsia" w:ascii="宋体" w:hAnsi="宋体" w:eastAsia="宋体" w:cs="宋体"/>
          <w:color w:val="auto"/>
          <w:sz w:val="24"/>
          <w:szCs w:val="24"/>
          <w:highlight w:val="none"/>
          <w:u w:val="single"/>
        </w:rPr>
        <w:t>评标委员会</w:t>
      </w:r>
      <w:r>
        <w:rPr>
          <w:rFonts w:hint="eastAsia" w:ascii="宋体" w:hAnsi="宋体" w:eastAsia="宋体" w:cs="宋体"/>
          <w:color w:val="auto"/>
          <w:sz w:val="24"/>
          <w:szCs w:val="24"/>
          <w:highlight w:val="none"/>
        </w:rPr>
        <w:t>评定，</w:t>
      </w:r>
      <w:r>
        <w:rPr>
          <w:rFonts w:hint="eastAsia" w:ascii="宋体" w:hAnsi="宋体" w:eastAsia="宋体" w:cs="宋体"/>
          <w:color w:val="auto"/>
          <w:sz w:val="24"/>
          <w:szCs w:val="24"/>
          <w:highlight w:val="none"/>
          <w:u w:val="single"/>
        </w:rPr>
        <w:t xml:space="preserve">   （中标人名称） </w:t>
      </w:r>
      <w:r>
        <w:rPr>
          <w:rFonts w:hint="eastAsia" w:ascii="宋体" w:hAnsi="宋体" w:eastAsia="宋体" w:cs="宋体"/>
          <w:color w:val="auto"/>
          <w:sz w:val="24"/>
          <w:szCs w:val="24"/>
          <w:highlight w:val="none"/>
        </w:rPr>
        <w:t>为该项目中标人。现于中标通知书发出之日起三十日内，按照采购文件确定的事项签订本合同。</w:t>
      </w:r>
    </w:p>
    <w:p w14:paraId="0FC072F9">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highlight w:val="none"/>
        </w:rPr>
      </w:pPr>
      <w:bookmarkStart w:id="105" w:name="_Hlk63008672"/>
      <w:bookmarkStart w:id="106" w:name="_Hlk63008690"/>
      <w:r>
        <w:rPr>
          <w:rFonts w:hint="eastAsia" w:ascii="宋体" w:hAnsi="宋体" w:eastAsia="宋体" w:cs="宋体"/>
          <w:color w:val="auto"/>
          <w:sz w:val="24"/>
          <w:szCs w:val="24"/>
          <w:highlight w:val="none"/>
        </w:rPr>
        <w:t>根据《中华人民共和国政府采购法》及其实施条例、《中华人民共和国民法典》</w:t>
      </w:r>
      <w:bookmarkEnd w:id="105"/>
      <w:r>
        <w:rPr>
          <w:rFonts w:hint="eastAsia" w:ascii="宋体" w:hAnsi="宋体" w:eastAsia="宋体" w:cs="宋体"/>
          <w:color w:val="auto"/>
          <w:sz w:val="24"/>
          <w:szCs w:val="24"/>
          <w:highlight w:val="none"/>
        </w:rPr>
        <w:t>等法律法规的规定</w:t>
      </w:r>
      <w:bookmarkEnd w:id="106"/>
      <w:r>
        <w:rPr>
          <w:rFonts w:hint="eastAsia" w:ascii="宋体" w:hAnsi="宋体" w:eastAsia="宋体" w:cs="宋体"/>
          <w:color w:val="auto"/>
          <w:sz w:val="24"/>
          <w:szCs w:val="24"/>
          <w:highlight w:val="none"/>
          <w:lang w:val="zh-CN"/>
        </w:rPr>
        <w:t>，按照平等、自愿、公平和诚实信用的原则，经</w:t>
      </w:r>
      <w:r>
        <w:rPr>
          <w:rFonts w:hint="eastAsia" w:ascii="宋体" w:hAnsi="宋体" w:eastAsia="宋体" w:cs="宋体"/>
          <w:color w:val="auto"/>
          <w:sz w:val="24"/>
          <w:szCs w:val="24"/>
          <w:highlight w:val="none"/>
          <w:u w:val="single"/>
          <w:lang w:eastAsia="zh-CN"/>
        </w:rPr>
        <w:t>常熟市古里镇人民政府</w:t>
      </w:r>
      <w:r>
        <w:rPr>
          <w:rFonts w:hint="eastAsia" w:ascii="宋体" w:hAnsi="宋体" w:eastAsia="宋体" w:cs="宋体"/>
          <w:color w:val="auto"/>
          <w:sz w:val="24"/>
          <w:szCs w:val="24"/>
          <w:highlight w:val="none"/>
          <w:lang w:val="zh-CN"/>
        </w:rPr>
        <w:t>(以下简称：甲方)和</w:t>
      </w:r>
      <w:r>
        <w:rPr>
          <w:rFonts w:hint="eastAsia" w:ascii="宋体" w:hAnsi="宋体" w:eastAsia="宋体" w:cs="宋体"/>
          <w:color w:val="auto"/>
          <w:sz w:val="24"/>
          <w:szCs w:val="24"/>
          <w:highlight w:val="none"/>
          <w:u w:val="single"/>
        </w:rPr>
        <w:t xml:space="preserve">   （中标人名称）   </w:t>
      </w:r>
      <w:r>
        <w:rPr>
          <w:rFonts w:hint="eastAsia" w:ascii="宋体" w:hAnsi="宋体" w:eastAsia="宋体" w:cs="宋体"/>
          <w:color w:val="auto"/>
          <w:sz w:val="24"/>
          <w:szCs w:val="24"/>
          <w:highlight w:val="none"/>
          <w:lang w:val="zh-CN"/>
        </w:rPr>
        <w:t>(以下简称：乙方)协商一致，约定以下合同</w:t>
      </w:r>
      <w:r>
        <w:rPr>
          <w:rFonts w:hint="eastAsia" w:ascii="宋体" w:hAnsi="宋体" w:eastAsia="宋体" w:cs="宋体"/>
          <w:color w:val="auto"/>
          <w:sz w:val="24"/>
          <w:szCs w:val="24"/>
          <w:highlight w:val="none"/>
        </w:rPr>
        <w:t>条款，以兹共同遵守、全面履行。</w:t>
      </w:r>
    </w:p>
    <w:p w14:paraId="319D68B1">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4"/>
          <w:szCs w:val="24"/>
          <w:highlight w:val="none"/>
        </w:rPr>
      </w:pPr>
      <w:bookmarkStart w:id="107" w:name="_Toc22967"/>
      <w:bookmarkStart w:id="108" w:name="_Toc28855"/>
      <w:bookmarkStart w:id="109" w:name="_Toc15367"/>
      <w:bookmarkStart w:id="110" w:name="_Toc20421"/>
      <w:bookmarkStart w:id="111" w:name="_Toc19273"/>
      <w:r>
        <w:rPr>
          <w:rFonts w:hint="eastAsia" w:ascii="宋体" w:hAnsi="宋体" w:eastAsia="宋体" w:cs="宋体"/>
          <w:b/>
          <w:color w:val="auto"/>
          <w:sz w:val="24"/>
          <w:szCs w:val="24"/>
          <w:highlight w:val="none"/>
        </w:rPr>
        <w:t>1.1 合同组成部分</w:t>
      </w:r>
      <w:bookmarkEnd w:id="107"/>
      <w:bookmarkEnd w:id="108"/>
      <w:bookmarkEnd w:id="109"/>
      <w:bookmarkEnd w:id="110"/>
      <w:bookmarkEnd w:id="111"/>
    </w:p>
    <w:p w14:paraId="13F66D58">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下列文件为本合同的组成部分，并构成一个整体，需综合解释、相互补充。如果下列文件内容出现不一致的情形，那么在保证按照采购文件确定的事项的前提下，组成本合同的多个文件的优先适用顺序如下：</w:t>
      </w:r>
    </w:p>
    <w:p w14:paraId="340EE1AB">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 本合同及其补充合同、变更协议。</w:t>
      </w:r>
    </w:p>
    <w:p w14:paraId="54C8AAB0">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 中标通知书。</w:t>
      </w:r>
    </w:p>
    <w:p w14:paraId="12121E34">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 投标文件（含澄清或者说明文件）。</w:t>
      </w:r>
    </w:p>
    <w:p w14:paraId="2FD08B93">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1.1.4 招标文件（含澄清或者修改文件）。</w:t>
      </w:r>
    </w:p>
    <w:p w14:paraId="714C0EF5">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1.1.5 其他相关采购文件。</w:t>
      </w:r>
    </w:p>
    <w:p w14:paraId="2DAA67FF">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b/>
          <w:color w:val="auto"/>
          <w:sz w:val="24"/>
          <w:szCs w:val="24"/>
          <w:highlight w:val="none"/>
        </w:rPr>
      </w:pPr>
      <w:bookmarkStart w:id="112" w:name="_Toc6773"/>
      <w:bookmarkStart w:id="113" w:name="_Toc6311"/>
      <w:bookmarkStart w:id="114" w:name="_Toc22185"/>
      <w:bookmarkStart w:id="115" w:name="_Toc2918"/>
      <w:bookmarkStart w:id="116" w:name="_Toc18585"/>
      <w:r>
        <w:rPr>
          <w:rFonts w:hint="eastAsia" w:ascii="宋体" w:hAnsi="宋体" w:eastAsia="宋体" w:cs="宋体"/>
          <w:b/>
          <w:color w:val="auto"/>
          <w:sz w:val="24"/>
          <w:szCs w:val="24"/>
          <w:highlight w:val="none"/>
        </w:rPr>
        <w:t>1.2 标的</w:t>
      </w:r>
      <w:bookmarkEnd w:id="112"/>
      <w:bookmarkEnd w:id="113"/>
      <w:bookmarkEnd w:id="114"/>
      <w:bookmarkEnd w:id="115"/>
      <w:bookmarkEnd w:id="116"/>
    </w:p>
    <w:p w14:paraId="6814747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1.2.1 标的名称：</w:t>
      </w:r>
      <w:r>
        <w:rPr>
          <w:rFonts w:hint="eastAsia" w:ascii="宋体" w:hAnsi="宋体" w:eastAsia="宋体" w:cs="宋体"/>
          <w:color w:val="auto"/>
          <w:sz w:val="24"/>
          <w:szCs w:val="24"/>
          <w:highlight w:val="none"/>
          <w:u w:val="single"/>
          <w:lang w:eastAsia="zh-CN"/>
        </w:rPr>
        <w:t>2026年古里镇雨污水管网养护及零星维修项目</w:t>
      </w:r>
      <w:r>
        <w:rPr>
          <w:rFonts w:hint="eastAsia" w:ascii="宋体" w:hAnsi="宋体" w:eastAsia="宋体" w:cs="宋体"/>
          <w:color w:val="auto"/>
          <w:sz w:val="24"/>
          <w:szCs w:val="24"/>
          <w:highlight w:val="none"/>
          <w:u w:val="single"/>
        </w:rPr>
        <w:t>。</w:t>
      </w:r>
    </w:p>
    <w:p w14:paraId="72AC408C">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 标的数量：</w:t>
      </w:r>
      <w:r>
        <w:rPr>
          <w:rFonts w:hint="eastAsia" w:ascii="宋体" w:hAnsi="宋体" w:eastAsia="宋体" w:cs="宋体"/>
          <w:color w:val="auto"/>
          <w:sz w:val="24"/>
          <w:szCs w:val="24"/>
          <w:highlight w:val="none"/>
          <w:u w:val="single"/>
        </w:rPr>
        <w:t>1项。</w:t>
      </w:r>
    </w:p>
    <w:p w14:paraId="06279E0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1.2.3 标的内容：</w:t>
      </w:r>
      <w:r>
        <w:rPr>
          <w:rFonts w:hint="eastAsia" w:ascii="宋体" w:hAnsi="宋体" w:eastAsia="宋体" w:cs="宋体"/>
          <w:color w:val="auto"/>
          <w:sz w:val="24"/>
          <w:szCs w:val="24"/>
          <w:highlight w:val="none"/>
          <w:u w:val="single"/>
        </w:rPr>
        <w:t xml:space="preserve">          。</w:t>
      </w:r>
    </w:p>
    <w:p w14:paraId="76F5E9BA">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b/>
          <w:color w:val="auto"/>
          <w:sz w:val="24"/>
          <w:szCs w:val="24"/>
          <w:highlight w:val="none"/>
        </w:rPr>
      </w:pPr>
      <w:bookmarkStart w:id="117" w:name="_Toc21124"/>
      <w:bookmarkStart w:id="118" w:name="_Toc5635"/>
      <w:bookmarkStart w:id="119" w:name="_Toc4929"/>
      <w:bookmarkStart w:id="120" w:name="_Toc13918"/>
      <w:bookmarkStart w:id="121" w:name="_Toc1386"/>
      <w:r>
        <w:rPr>
          <w:rFonts w:hint="eastAsia" w:ascii="宋体" w:hAnsi="宋体" w:eastAsia="宋体" w:cs="宋体"/>
          <w:b/>
          <w:color w:val="auto"/>
          <w:sz w:val="24"/>
          <w:szCs w:val="24"/>
          <w:highlight w:val="none"/>
        </w:rPr>
        <w:t>1.3 价款</w:t>
      </w:r>
      <w:bookmarkEnd w:id="117"/>
      <w:bookmarkEnd w:id="118"/>
      <w:bookmarkEnd w:id="119"/>
      <w:bookmarkEnd w:id="120"/>
      <w:bookmarkEnd w:id="121"/>
    </w:p>
    <w:p w14:paraId="49F1C21A">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bCs/>
          <w:color w:val="auto"/>
          <w:kern w:val="0"/>
          <w:sz w:val="24"/>
          <w:szCs w:val="24"/>
          <w:highlight w:val="none"/>
        </w:rPr>
      </w:pPr>
      <w:bookmarkStart w:id="122" w:name="_Toc3654"/>
      <w:bookmarkStart w:id="123" w:name="_Toc14993"/>
      <w:bookmarkStart w:id="124" w:name="_Toc26916"/>
      <w:bookmarkStart w:id="125" w:name="_Toc30158"/>
      <w:bookmarkStart w:id="126" w:name="_Toc30506"/>
      <w:r>
        <w:rPr>
          <w:rFonts w:hint="eastAsia" w:ascii="宋体" w:hAnsi="宋体" w:eastAsia="宋体" w:cs="宋体"/>
          <w:bCs/>
          <w:color w:val="auto"/>
          <w:kern w:val="0"/>
          <w:sz w:val="24"/>
          <w:szCs w:val="24"/>
          <w:highlight w:val="none"/>
          <w:lang w:val="en-US" w:eastAsia="zh-CN"/>
        </w:rPr>
        <w:t>中标优惠率</w:t>
      </w:r>
      <w:r>
        <w:rPr>
          <w:rFonts w:hint="eastAsia" w:ascii="宋体" w:hAnsi="宋体" w:eastAsia="宋体" w:cs="宋体"/>
          <w:bCs/>
          <w:color w:val="auto"/>
          <w:kern w:val="0"/>
          <w:sz w:val="24"/>
          <w:szCs w:val="24"/>
          <w:highlight w:val="none"/>
          <w:u w:val="single"/>
        </w:rPr>
        <w:t xml:space="preserve">      </w:t>
      </w:r>
      <w:r>
        <w:rPr>
          <w:rFonts w:hint="eastAsia" w:ascii="宋体" w:hAnsi="宋体" w:eastAsia="宋体" w:cs="宋体"/>
          <w:bCs/>
          <w:color w:val="auto"/>
          <w:kern w:val="0"/>
          <w:sz w:val="24"/>
          <w:szCs w:val="24"/>
          <w:highlight w:val="none"/>
          <w:u w:val="none"/>
          <w:lang w:val="en-US" w:eastAsia="zh-CN"/>
        </w:rPr>
        <w:t>%</w:t>
      </w:r>
      <w:r>
        <w:rPr>
          <w:rFonts w:hint="eastAsia" w:ascii="宋体" w:hAnsi="宋体" w:eastAsia="宋体" w:cs="宋体"/>
          <w:bCs/>
          <w:color w:val="auto"/>
          <w:kern w:val="0"/>
          <w:sz w:val="24"/>
          <w:szCs w:val="24"/>
          <w:highlight w:val="none"/>
        </w:rPr>
        <w:t>。</w:t>
      </w:r>
    </w:p>
    <w:p w14:paraId="798318DB">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1.4 付款方式、开票方式</w:t>
      </w:r>
      <w:bookmarkEnd w:id="122"/>
      <w:bookmarkEnd w:id="123"/>
      <w:bookmarkEnd w:id="124"/>
      <w:bookmarkEnd w:id="125"/>
      <w:bookmarkEnd w:id="126"/>
    </w:p>
    <w:p w14:paraId="2E7EB098">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 本合同项下所有款项均以人民币支付。</w:t>
      </w:r>
    </w:p>
    <w:p w14:paraId="0DC5C419">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1.4.2 </w:t>
      </w:r>
      <w:r>
        <w:rPr>
          <w:rFonts w:hint="eastAsia" w:ascii="宋体" w:hAnsi="宋体" w:eastAsia="宋体" w:cs="宋体"/>
          <w:color w:val="auto"/>
          <w:sz w:val="24"/>
          <w:szCs w:val="24"/>
          <w:highlight w:val="none"/>
          <w:lang w:val="en-US" w:eastAsia="zh-CN"/>
        </w:rPr>
        <w:t>结算方式：本项目以单价合同方式结算。</w:t>
      </w:r>
    </w:p>
    <w:p w14:paraId="3878A7CA">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val="en-US" w:eastAsia="zh-CN"/>
        </w:rPr>
        <w:t>①管道疏通费：</w:t>
      </w:r>
      <w:r>
        <w:rPr>
          <w:rFonts w:hint="eastAsia" w:ascii="宋体" w:hAnsi="宋体" w:eastAsia="宋体" w:cs="宋体"/>
          <w:color w:val="auto"/>
          <w:sz w:val="24"/>
          <w:szCs w:val="24"/>
          <w:highlight w:val="none"/>
        </w:rPr>
        <w:t>该部分内容竣工验收合格后工程量以现场签证为准，竣工结算审核时，若招标文件中有提供预算单价的则按照预算单价*（1-</w:t>
      </w:r>
      <w:r>
        <w:rPr>
          <w:rFonts w:hint="eastAsia" w:ascii="宋体" w:hAnsi="宋体" w:eastAsia="宋体" w:cs="宋体"/>
          <w:color w:val="auto"/>
          <w:sz w:val="24"/>
          <w:szCs w:val="24"/>
          <w:highlight w:val="none"/>
          <w:lang w:val="en-US" w:eastAsia="zh-CN"/>
        </w:rPr>
        <w:t>中标</w:t>
      </w:r>
      <w:r>
        <w:rPr>
          <w:rFonts w:hint="eastAsia" w:ascii="宋体" w:hAnsi="宋体" w:eastAsia="宋体" w:cs="宋体"/>
          <w:color w:val="auto"/>
          <w:sz w:val="24"/>
          <w:szCs w:val="24"/>
          <w:highlight w:val="none"/>
          <w:lang w:eastAsia="zh-CN"/>
        </w:rPr>
        <w:t>优惠率</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结</w:t>
      </w:r>
      <w:r>
        <w:rPr>
          <w:rFonts w:hint="eastAsia" w:ascii="宋体" w:hAnsi="宋体" w:eastAsia="宋体" w:cs="宋体"/>
          <w:color w:val="auto"/>
          <w:sz w:val="24"/>
          <w:szCs w:val="24"/>
          <w:highlight w:val="none"/>
        </w:rPr>
        <w:t>算单价，若无预算单价的则按照相关定额计取，若未有定额的则对其综合单价进行合理性分析（依据市场价、询价结果等多方面因素）并经</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确认。按上述方式计算出的金额*（1-</w:t>
      </w:r>
      <w:r>
        <w:rPr>
          <w:rFonts w:hint="eastAsia" w:ascii="宋体" w:hAnsi="宋体" w:eastAsia="宋体" w:cs="宋体"/>
          <w:color w:val="auto"/>
          <w:sz w:val="24"/>
          <w:szCs w:val="24"/>
          <w:highlight w:val="none"/>
          <w:lang w:val="en-US" w:eastAsia="zh-CN"/>
        </w:rPr>
        <w:t>中标</w:t>
      </w:r>
      <w:r>
        <w:rPr>
          <w:rFonts w:hint="eastAsia" w:ascii="宋体" w:hAnsi="宋体" w:eastAsia="宋体" w:cs="宋体"/>
          <w:color w:val="auto"/>
          <w:sz w:val="24"/>
          <w:szCs w:val="24"/>
          <w:highlight w:val="none"/>
          <w:lang w:eastAsia="zh-CN"/>
        </w:rPr>
        <w:t>优惠率</w:t>
      </w:r>
      <w:r>
        <w:rPr>
          <w:rFonts w:hint="eastAsia" w:ascii="宋体" w:hAnsi="宋体" w:eastAsia="宋体" w:cs="宋体"/>
          <w:color w:val="auto"/>
          <w:sz w:val="24"/>
          <w:szCs w:val="24"/>
          <w:highlight w:val="none"/>
        </w:rPr>
        <w:t>）将作为该部分最终结算价</w:t>
      </w:r>
      <w:r>
        <w:rPr>
          <w:rFonts w:hint="eastAsia" w:ascii="宋体" w:hAnsi="宋体" w:eastAsia="宋体" w:cs="宋体"/>
          <w:color w:val="auto"/>
          <w:sz w:val="24"/>
          <w:szCs w:val="24"/>
          <w:highlight w:val="none"/>
          <w:lang w:eastAsia="zh-CN"/>
        </w:rPr>
        <w:t>。</w:t>
      </w:r>
    </w:p>
    <w:p w14:paraId="2807A825">
      <w:pPr>
        <w:spacing w:line="440" w:lineRule="exact"/>
        <w:ind w:firstLine="482" w:firstLineChars="200"/>
        <w:jc w:val="center"/>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1、雨污水管网疏通</w:t>
      </w:r>
      <w:r>
        <w:rPr>
          <w:rFonts w:hint="eastAsia" w:ascii="宋体" w:hAnsi="宋体" w:eastAsia="宋体" w:cs="宋体"/>
          <w:b/>
          <w:bCs/>
          <w:color w:val="auto"/>
          <w:sz w:val="24"/>
          <w:szCs w:val="24"/>
          <w:highlight w:val="none"/>
        </w:rPr>
        <w:t>预算单价按下表</w:t>
      </w:r>
    </w:p>
    <w:tbl>
      <w:tblPr>
        <w:tblStyle w:val="5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59"/>
        <w:gridCol w:w="4060"/>
        <w:gridCol w:w="1919"/>
      </w:tblGrid>
      <w:tr w14:paraId="7CFF7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059" w:type="dxa"/>
            <w:vAlign w:val="center"/>
          </w:tcPr>
          <w:p w14:paraId="68216ABA">
            <w:pPr>
              <w:keepNext w:val="0"/>
              <w:keepLines w:val="0"/>
              <w:widowControl/>
              <w:suppressLineNumbers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项目名称</w:t>
            </w:r>
          </w:p>
        </w:tc>
        <w:tc>
          <w:tcPr>
            <w:tcW w:w="4060" w:type="dxa"/>
            <w:vAlign w:val="center"/>
          </w:tcPr>
          <w:p w14:paraId="6413DF7E">
            <w:pPr>
              <w:keepNext w:val="0"/>
              <w:keepLines w:val="0"/>
              <w:widowControl/>
              <w:suppressLineNumbers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作业描述</w:t>
            </w:r>
          </w:p>
        </w:tc>
        <w:tc>
          <w:tcPr>
            <w:tcW w:w="1919" w:type="dxa"/>
            <w:vAlign w:val="center"/>
          </w:tcPr>
          <w:p w14:paraId="24BF62A1">
            <w:pPr>
              <w:keepNext w:val="0"/>
              <w:keepLines w:val="0"/>
              <w:widowControl/>
              <w:suppressLineNumbers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预算单价</w:t>
            </w:r>
          </w:p>
        </w:tc>
      </w:tr>
      <w:tr w14:paraId="12CA7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059" w:type="dxa"/>
            <w:vAlign w:val="center"/>
          </w:tcPr>
          <w:p w14:paraId="7C68C745">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 xml:space="preserve">雨水管D≤200mm </w:t>
            </w:r>
          </w:p>
        </w:tc>
        <w:tc>
          <w:tcPr>
            <w:tcW w:w="4060" w:type="dxa"/>
            <w:vAlign w:val="center"/>
          </w:tcPr>
          <w:p w14:paraId="07630813">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1、安放安全设施</w:t>
            </w:r>
          </w:p>
          <w:p w14:paraId="45FAAF72">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2、管道疏通</w:t>
            </w:r>
          </w:p>
          <w:p w14:paraId="425F31E9">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3、污泥运输并按规范处置，运距自行考虑</w:t>
            </w:r>
          </w:p>
        </w:tc>
        <w:tc>
          <w:tcPr>
            <w:tcW w:w="1919" w:type="dxa"/>
            <w:vAlign w:val="center"/>
          </w:tcPr>
          <w:p w14:paraId="5103886B">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5.00元/m</w:t>
            </w:r>
          </w:p>
        </w:tc>
      </w:tr>
      <w:tr w14:paraId="40CCE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059" w:type="dxa"/>
            <w:vAlign w:val="center"/>
          </w:tcPr>
          <w:p w14:paraId="139F4716">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雨水管（200＜D≤315mm）</w:t>
            </w:r>
          </w:p>
        </w:tc>
        <w:tc>
          <w:tcPr>
            <w:tcW w:w="4060" w:type="dxa"/>
            <w:vAlign w:val="center"/>
          </w:tcPr>
          <w:p w14:paraId="7A827B5E">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1、安放安全设施</w:t>
            </w:r>
          </w:p>
          <w:p w14:paraId="4E312B4C">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2、管道疏通</w:t>
            </w:r>
          </w:p>
          <w:p w14:paraId="3E2BBC54">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3、污泥运输并按规范处置，运距自行考虑</w:t>
            </w:r>
          </w:p>
        </w:tc>
        <w:tc>
          <w:tcPr>
            <w:tcW w:w="1919" w:type="dxa"/>
            <w:vAlign w:val="center"/>
          </w:tcPr>
          <w:p w14:paraId="200D20DE">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7.00元/m</w:t>
            </w:r>
          </w:p>
        </w:tc>
      </w:tr>
      <w:tr w14:paraId="47793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059" w:type="dxa"/>
            <w:vAlign w:val="center"/>
          </w:tcPr>
          <w:p w14:paraId="62F18906">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雨水管（315＜D≤400mm）</w:t>
            </w:r>
          </w:p>
        </w:tc>
        <w:tc>
          <w:tcPr>
            <w:tcW w:w="4060" w:type="dxa"/>
            <w:vAlign w:val="center"/>
          </w:tcPr>
          <w:p w14:paraId="64837E1F">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1、安放安全设施</w:t>
            </w:r>
          </w:p>
          <w:p w14:paraId="1C0AB8A4">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2、管道疏通</w:t>
            </w:r>
          </w:p>
          <w:p w14:paraId="05789D4E">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3、污泥运输并按规范处置，运距自行考虑</w:t>
            </w:r>
          </w:p>
        </w:tc>
        <w:tc>
          <w:tcPr>
            <w:tcW w:w="1919" w:type="dxa"/>
            <w:vAlign w:val="center"/>
          </w:tcPr>
          <w:p w14:paraId="726121FB">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12.00元/m</w:t>
            </w:r>
          </w:p>
        </w:tc>
      </w:tr>
      <w:tr w14:paraId="27B36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059" w:type="dxa"/>
            <w:vAlign w:val="center"/>
          </w:tcPr>
          <w:p w14:paraId="5C115496">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 xml:space="preserve">雨水管（400＜D≤600mm） </w:t>
            </w:r>
          </w:p>
        </w:tc>
        <w:tc>
          <w:tcPr>
            <w:tcW w:w="4060" w:type="dxa"/>
            <w:vAlign w:val="center"/>
          </w:tcPr>
          <w:p w14:paraId="75DFF74A">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1、安放安全设施</w:t>
            </w:r>
          </w:p>
          <w:p w14:paraId="6C964AA3">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2、管道疏通</w:t>
            </w:r>
          </w:p>
          <w:p w14:paraId="2E8409DE">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3、污泥运输并按规范处置，运距自行考虑</w:t>
            </w:r>
          </w:p>
        </w:tc>
        <w:tc>
          <w:tcPr>
            <w:tcW w:w="1919" w:type="dxa"/>
            <w:vAlign w:val="center"/>
          </w:tcPr>
          <w:p w14:paraId="21D2C559">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16.00元/m</w:t>
            </w:r>
          </w:p>
        </w:tc>
      </w:tr>
      <w:tr w14:paraId="1D281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059" w:type="dxa"/>
            <w:vAlign w:val="center"/>
          </w:tcPr>
          <w:p w14:paraId="486ACDFC">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雨水管（600＜D≤800mm）</w:t>
            </w:r>
          </w:p>
        </w:tc>
        <w:tc>
          <w:tcPr>
            <w:tcW w:w="4060" w:type="dxa"/>
            <w:vAlign w:val="center"/>
          </w:tcPr>
          <w:p w14:paraId="1E5883C3">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1、安放安全设施</w:t>
            </w:r>
          </w:p>
          <w:p w14:paraId="21FEE11E">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2、管道疏通</w:t>
            </w:r>
          </w:p>
          <w:p w14:paraId="02019D8E">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3、污泥运输并按规范处置，运距自行考虑</w:t>
            </w:r>
          </w:p>
        </w:tc>
        <w:tc>
          <w:tcPr>
            <w:tcW w:w="1919" w:type="dxa"/>
            <w:vAlign w:val="center"/>
          </w:tcPr>
          <w:p w14:paraId="1FE5CB7E">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20.00元/m</w:t>
            </w:r>
          </w:p>
        </w:tc>
      </w:tr>
      <w:tr w14:paraId="37596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059" w:type="dxa"/>
            <w:vAlign w:val="center"/>
          </w:tcPr>
          <w:p w14:paraId="01237E46">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雨水管（800mm＜D）</w:t>
            </w:r>
          </w:p>
        </w:tc>
        <w:tc>
          <w:tcPr>
            <w:tcW w:w="4060" w:type="dxa"/>
            <w:vAlign w:val="center"/>
          </w:tcPr>
          <w:p w14:paraId="36C44B71">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1、安放安全设施</w:t>
            </w:r>
          </w:p>
          <w:p w14:paraId="0C75D6F4">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2、管道疏通</w:t>
            </w:r>
          </w:p>
          <w:p w14:paraId="4B336BD5">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3、污泥运输并按规范处置，运距自行考虑</w:t>
            </w:r>
          </w:p>
        </w:tc>
        <w:tc>
          <w:tcPr>
            <w:tcW w:w="1919" w:type="dxa"/>
            <w:vAlign w:val="center"/>
          </w:tcPr>
          <w:p w14:paraId="620E7CC3">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25.00元/m</w:t>
            </w:r>
          </w:p>
        </w:tc>
      </w:tr>
      <w:tr w14:paraId="57F9D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059" w:type="dxa"/>
            <w:vAlign w:val="center"/>
          </w:tcPr>
          <w:p w14:paraId="49007EAD">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污水管D315mm及以下</w:t>
            </w:r>
          </w:p>
        </w:tc>
        <w:tc>
          <w:tcPr>
            <w:tcW w:w="4060" w:type="dxa"/>
            <w:vAlign w:val="center"/>
          </w:tcPr>
          <w:p w14:paraId="02D8FCA9">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1、安放安全设施</w:t>
            </w:r>
          </w:p>
          <w:p w14:paraId="20123AAF">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2、管道疏通</w:t>
            </w:r>
          </w:p>
          <w:p w14:paraId="55977AFF">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3、污泥运输并按规范处置，运距自行考虑</w:t>
            </w:r>
          </w:p>
        </w:tc>
        <w:tc>
          <w:tcPr>
            <w:tcW w:w="1919" w:type="dxa"/>
            <w:vAlign w:val="center"/>
          </w:tcPr>
          <w:p w14:paraId="47E1C92F">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7.00元/m</w:t>
            </w:r>
          </w:p>
        </w:tc>
      </w:tr>
      <w:tr w14:paraId="34B15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059" w:type="dxa"/>
            <w:vAlign w:val="center"/>
          </w:tcPr>
          <w:p w14:paraId="60B72FF4">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污水管D400mm及以上</w:t>
            </w:r>
          </w:p>
        </w:tc>
        <w:tc>
          <w:tcPr>
            <w:tcW w:w="4060" w:type="dxa"/>
            <w:vAlign w:val="center"/>
          </w:tcPr>
          <w:p w14:paraId="734A0779">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1、安放安全设施</w:t>
            </w:r>
          </w:p>
          <w:p w14:paraId="03D08A49">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2、管道疏通</w:t>
            </w:r>
          </w:p>
          <w:p w14:paraId="671B505E">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3、污泥运输并按规范处置，运距自行考虑</w:t>
            </w:r>
          </w:p>
        </w:tc>
        <w:tc>
          <w:tcPr>
            <w:tcW w:w="1919" w:type="dxa"/>
            <w:vAlign w:val="center"/>
          </w:tcPr>
          <w:p w14:paraId="51CFE615">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12.00元/m</w:t>
            </w:r>
          </w:p>
        </w:tc>
      </w:tr>
      <w:tr w14:paraId="79749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059" w:type="dxa"/>
            <w:vAlign w:val="center"/>
          </w:tcPr>
          <w:p w14:paraId="1B669128">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雨水口清疏</w:t>
            </w:r>
          </w:p>
        </w:tc>
        <w:tc>
          <w:tcPr>
            <w:tcW w:w="4060" w:type="dxa"/>
            <w:vAlign w:val="center"/>
          </w:tcPr>
          <w:p w14:paraId="0A01C358">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1、安放安全设施</w:t>
            </w:r>
          </w:p>
          <w:p w14:paraId="559752C3">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2、掏挖污泥</w:t>
            </w:r>
          </w:p>
          <w:p w14:paraId="61D0FDBD">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3、污泥运输并按规范处置，运距自行考虑</w:t>
            </w:r>
          </w:p>
        </w:tc>
        <w:tc>
          <w:tcPr>
            <w:tcW w:w="1919" w:type="dxa"/>
            <w:vAlign w:val="center"/>
          </w:tcPr>
          <w:p w14:paraId="7E110CE0">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15.00元/座</w:t>
            </w:r>
          </w:p>
        </w:tc>
      </w:tr>
      <w:tr w14:paraId="4B7BE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059" w:type="dxa"/>
            <w:vAlign w:val="center"/>
          </w:tcPr>
          <w:p w14:paraId="4793738D">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雨、污水检查井（井深度2.0m以内）</w:t>
            </w:r>
          </w:p>
        </w:tc>
        <w:tc>
          <w:tcPr>
            <w:tcW w:w="4060" w:type="dxa"/>
            <w:vAlign w:val="center"/>
          </w:tcPr>
          <w:p w14:paraId="7202F6DB">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1、安放安全设施</w:t>
            </w:r>
          </w:p>
          <w:p w14:paraId="5D36AD4F">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2、清理污泥</w:t>
            </w:r>
          </w:p>
          <w:p w14:paraId="0274B132">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3、污泥运输并按规范处置，运距自行考虑</w:t>
            </w:r>
          </w:p>
        </w:tc>
        <w:tc>
          <w:tcPr>
            <w:tcW w:w="1919" w:type="dxa"/>
            <w:vAlign w:val="center"/>
          </w:tcPr>
          <w:p w14:paraId="7595E1B5">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60.00元/座</w:t>
            </w:r>
          </w:p>
        </w:tc>
      </w:tr>
      <w:tr w14:paraId="3ED2F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059" w:type="dxa"/>
            <w:vAlign w:val="center"/>
          </w:tcPr>
          <w:p w14:paraId="7AA227B4">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雨、污水检查井（井深度2.0m-3.0m以内）</w:t>
            </w:r>
          </w:p>
        </w:tc>
        <w:tc>
          <w:tcPr>
            <w:tcW w:w="4060" w:type="dxa"/>
            <w:vAlign w:val="center"/>
          </w:tcPr>
          <w:p w14:paraId="32256779">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1、安放安全设施</w:t>
            </w:r>
          </w:p>
          <w:p w14:paraId="5FA1A143">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2、清理污泥</w:t>
            </w:r>
          </w:p>
          <w:p w14:paraId="7085E0E3">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3、污泥运输并按规范处置，运距自行考虑</w:t>
            </w:r>
          </w:p>
        </w:tc>
        <w:tc>
          <w:tcPr>
            <w:tcW w:w="1919" w:type="dxa"/>
            <w:vAlign w:val="center"/>
          </w:tcPr>
          <w:p w14:paraId="28BA6E8B">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75.00元/座</w:t>
            </w:r>
          </w:p>
        </w:tc>
      </w:tr>
      <w:tr w14:paraId="47530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059" w:type="dxa"/>
            <w:vAlign w:val="center"/>
          </w:tcPr>
          <w:p w14:paraId="04919CA7">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雨、污水检查井（井深度3.0m以上）</w:t>
            </w:r>
          </w:p>
        </w:tc>
        <w:tc>
          <w:tcPr>
            <w:tcW w:w="4060" w:type="dxa"/>
            <w:vAlign w:val="center"/>
          </w:tcPr>
          <w:p w14:paraId="15F97EEC">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1、安放安全设施</w:t>
            </w:r>
          </w:p>
          <w:p w14:paraId="60A4C951">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2、清理污泥</w:t>
            </w:r>
          </w:p>
          <w:p w14:paraId="6D4A81B7">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3、污泥运输并按规范处置，运距自行考虑</w:t>
            </w:r>
          </w:p>
        </w:tc>
        <w:tc>
          <w:tcPr>
            <w:tcW w:w="1919" w:type="dxa"/>
            <w:vAlign w:val="center"/>
          </w:tcPr>
          <w:p w14:paraId="02500410">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100元/座</w:t>
            </w:r>
          </w:p>
        </w:tc>
      </w:tr>
      <w:tr w14:paraId="79E35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059" w:type="dxa"/>
            <w:vAlign w:val="center"/>
          </w:tcPr>
          <w:p w14:paraId="45D05E9F">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专业潜水员下井作业</w:t>
            </w:r>
          </w:p>
        </w:tc>
        <w:tc>
          <w:tcPr>
            <w:tcW w:w="4060" w:type="dxa"/>
            <w:vAlign w:val="center"/>
          </w:tcPr>
          <w:p w14:paraId="3468FB71">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因现场需要，由专业潜水员下井排摸、打捞作业。</w:t>
            </w:r>
          </w:p>
        </w:tc>
        <w:tc>
          <w:tcPr>
            <w:tcW w:w="1919" w:type="dxa"/>
            <w:vAlign w:val="center"/>
          </w:tcPr>
          <w:p w14:paraId="6E32A1E8">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3000.00元/座</w:t>
            </w:r>
          </w:p>
        </w:tc>
      </w:tr>
      <w:tr w14:paraId="648AF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059" w:type="dxa"/>
            <w:vAlign w:val="center"/>
          </w:tcPr>
          <w:p w14:paraId="6D176EDF">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专业潜水员下井作业</w:t>
            </w:r>
          </w:p>
        </w:tc>
        <w:tc>
          <w:tcPr>
            <w:tcW w:w="4060" w:type="dxa"/>
            <w:vAlign w:val="center"/>
          </w:tcPr>
          <w:p w14:paraId="68B1F726">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管道封堵及拆除（600mm管及以下）</w:t>
            </w:r>
          </w:p>
        </w:tc>
        <w:tc>
          <w:tcPr>
            <w:tcW w:w="1919" w:type="dxa"/>
            <w:vAlign w:val="center"/>
          </w:tcPr>
          <w:p w14:paraId="63217A13">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5500元/个</w:t>
            </w:r>
          </w:p>
        </w:tc>
      </w:tr>
      <w:tr w14:paraId="7EB8D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059" w:type="dxa"/>
            <w:vAlign w:val="center"/>
          </w:tcPr>
          <w:p w14:paraId="28D42005">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验收环节</w:t>
            </w:r>
          </w:p>
        </w:tc>
        <w:tc>
          <w:tcPr>
            <w:tcW w:w="4060" w:type="dxa"/>
            <w:vAlign w:val="center"/>
          </w:tcPr>
          <w:p w14:paraId="7352B042">
            <w:pPr>
              <w:keepNext w:val="0"/>
              <w:keepLines w:val="0"/>
              <w:widowControl/>
              <w:numPr>
                <w:ilvl w:val="0"/>
                <w:numId w:val="0"/>
              </w:numPr>
              <w:suppressLineNumbers w:val="0"/>
              <w:jc w:val="left"/>
              <w:textAlignment w:val="center"/>
              <w:rPr>
                <w:rFonts w:hint="eastAsia" w:ascii="宋体" w:hAnsi="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lang w:val="en-US" w:eastAsia="zh-CN" w:bidi="ar"/>
              </w:rPr>
              <w:t>1、</w:t>
            </w:r>
            <w:r>
              <w:rPr>
                <w:rFonts w:hint="eastAsia" w:ascii="宋体" w:hAnsi="宋体" w:eastAsia="宋体" w:cs="宋体"/>
                <w:i w:val="0"/>
                <w:iCs w:val="0"/>
                <w:color w:val="000000"/>
                <w:kern w:val="0"/>
                <w:sz w:val="21"/>
                <w:szCs w:val="21"/>
                <w:highlight w:val="none"/>
                <w:u w:val="none"/>
                <w:lang w:val="en-US" w:eastAsia="zh-CN" w:bidi="ar"/>
              </w:rPr>
              <w:t>检查井两侧管道封堵（不含潜水员下井封堵）、井下抽水、机器人下井拍照，出具检查验收报告</w:t>
            </w:r>
            <w:r>
              <w:rPr>
                <w:rFonts w:hint="eastAsia" w:ascii="宋体" w:hAnsi="宋体" w:cs="宋体"/>
                <w:i w:val="0"/>
                <w:iCs w:val="0"/>
                <w:color w:val="000000"/>
                <w:kern w:val="0"/>
                <w:sz w:val="21"/>
                <w:szCs w:val="21"/>
                <w:highlight w:val="none"/>
                <w:u w:val="none"/>
                <w:lang w:val="en-US" w:eastAsia="zh-CN" w:bidi="ar"/>
              </w:rPr>
              <w:t xml:space="preserve"> 。</w:t>
            </w:r>
          </w:p>
          <w:p w14:paraId="631EE0EE">
            <w:pPr>
              <w:keepNext w:val="0"/>
              <w:keepLines w:val="0"/>
              <w:widowControl/>
              <w:numPr>
                <w:ilvl w:val="0"/>
                <w:numId w:val="0"/>
              </w:numPr>
              <w:suppressLineNumbers w:val="0"/>
              <w:jc w:val="left"/>
              <w:textAlignment w:val="center"/>
              <w:rPr>
                <w:rFonts w:hint="eastAsia" w:ascii="宋体" w:hAnsi="宋体" w:cs="宋体"/>
                <w:i w:val="0"/>
                <w:iCs w:val="0"/>
                <w:color w:val="000000"/>
                <w:kern w:val="0"/>
                <w:sz w:val="21"/>
                <w:szCs w:val="21"/>
                <w:highlight w:val="none"/>
                <w:u w:val="none"/>
                <w:lang w:val="en-US" w:eastAsia="zh-CN" w:bidi="ar"/>
              </w:rPr>
            </w:pPr>
            <w:r>
              <w:rPr>
                <w:rFonts w:hint="default" w:ascii="宋体" w:hAnsi="宋体" w:eastAsia="宋体" w:cs="宋体"/>
                <w:i w:val="0"/>
                <w:iCs w:val="0"/>
                <w:color w:val="000000"/>
                <w:kern w:val="0"/>
                <w:sz w:val="21"/>
                <w:szCs w:val="21"/>
                <w:highlight w:val="none"/>
                <w:lang w:val="en-US" w:eastAsia="zh-CN" w:bidi="ar"/>
              </w:rPr>
              <w:t>2、</w:t>
            </w:r>
            <w:r>
              <w:rPr>
                <w:rFonts w:hint="eastAsia" w:ascii="宋体" w:hAnsi="宋体" w:cs="宋体"/>
                <w:i w:val="0"/>
                <w:iCs w:val="0"/>
                <w:color w:val="000000"/>
                <w:kern w:val="0"/>
                <w:sz w:val="21"/>
                <w:szCs w:val="21"/>
                <w:highlight w:val="none"/>
                <w:u w:val="none"/>
                <w:lang w:val="en-US" w:eastAsia="zh-CN" w:bidi="ar"/>
              </w:rPr>
              <w:t>本费用是指点位验收直至达到合格标准所产生的所有费用。</w:t>
            </w:r>
          </w:p>
          <w:p w14:paraId="33032C18">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cs="宋体"/>
                <w:i w:val="0"/>
                <w:iCs w:val="0"/>
                <w:color w:val="000000"/>
                <w:kern w:val="0"/>
                <w:sz w:val="21"/>
                <w:szCs w:val="21"/>
                <w:highlight w:val="none"/>
                <w:u w:val="none"/>
                <w:lang w:val="en-US" w:eastAsia="zh-CN" w:bidi="ar"/>
              </w:rPr>
              <w:t>3、如验收不合格（一个或多个点位验收不通过），由乙方负责整改并承担验收环节中产生的所有点位验收费用；整改完成后由甲方重新组织验收，一次性全部验收合格，甲方支付验收费用。</w:t>
            </w:r>
          </w:p>
        </w:tc>
        <w:tc>
          <w:tcPr>
            <w:tcW w:w="1919" w:type="dxa"/>
            <w:vAlign w:val="center"/>
          </w:tcPr>
          <w:p w14:paraId="21B52E63">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3600.00元/点位</w:t>
            </w:r>
          </w:p>
        </w:tc>
      </w:tr>
      <w:tr w14:paraId="1A336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059" w:type="dxa"/>
            <w:vAlign w:val="center"/>
          </w:tcPr>
          <w:p w14:paraId="7F1AB7A2">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CCTV管道检测</w:t>
            </w:r>
          </w:p>
        </w:tc>
        <w:tc>
          <w:tcPr>
            <w:tcW w:w="4060" w:type="dxa"/>
            <w:vAlign w:val="center"/>
          </w:tcPr>
          <w:p w14:paraId="210ADC7F">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919" w:type="dxa"/>
            <w:vAlign w:val="center"/>
          </w:tcPr>
          <w:p w14:paraId="036B6923">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30元/米</w:t>
            </w:r>
          </w:p>
        </w:tc>
      </w:tr>
      <w:tr w14:paraId="2F271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059" w:type="dxa"/>
            <w:vAlign w:val="center"/>
          </w:tcPr>
          <w:p w14:paraId="1E2082CE">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QV管道检测</w:t>
            </w:r>
          </w:p>
        </w:tc>
        <w:tc>
          <w:tcPr>
            <w:tcW w:w="4060" w:type="dxa"/>
            <w:vAlign w:val="center"/>
          </w:tcPr>
          <w:p w14:paraId="62B0F449">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919" w:type="dxa"/>
            <w:vAlign w:val="center"/>
          </w:tcPr>
          <w:p w14:paraId="65A06B0B">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20元/米</w:t>
            </w:r>
          </w:p>
        </w:tc>
      </w:tr>
    </w:tbl>
    <w:p w14:paraId="41FA2E66">
      <w:pPr>
        <w:spacing w:line="440" w:lineRule="exact"/>
        <w:ind w:firstLine="482" w:firstLineChars="200"/>
        <w:jc w:val="left"/>
        <w:rPr>
          <w:rFonts w:hint="eastAsia" w:ascii="宋体" w:hAnsi="宋体" w:eastAsia="宋体" w:cs="宋体"/>
          <w:b/>
          <w:bCs/>
          <w:color w:val="auto"/>
          <w:kern w:val="0"/>
          <w:sz w:val="24"/>
          <w:szCs w:val="24"/>
          <w:highlight w:val="none"/>
          <w:lang w:val="en-US" w:eastAsia="zh-CN"/>
        </w:rPr>
      </w:pPr>
    </w:p>
    <w:p w14:paraId="38918144">
      <w:pPr>
        <w:spacing w:line="440" w:lineRule="exact"/>
        <w:ind w:firstLine="482" w:firstLineChars="200"/>
        <w:jc w:val="center"/>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2</w:t>
      </w:r>
      <w:r>
        <w:rPr>
          <w:rFonts w:hint="eastAsia" w:ascii="宋体" w:hAnsi="宋体" w:eastAsia="宋体" w:cs="宋体"/>
          <w:b/>
          <w:bCs/>
          <w:color w:val="auto"/>
          <w:sz w:val="24"/>
          <w:szCs w:val="24"/>
          <w:highlight w:val="none"/>
          <w:lang w:val="en-US" w:eastAsia="zh-CN"/>
        </w:rPr>
        <w:t>、其他零星维修（应急及投诉处理）</w:t>
      </w:r>
    </w:p>
    <w:tbl>
      <w:tblPr>
        <w:tblStyle w:val="54"/>
        <w:tblW w:w="90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86"/>
        <w:gridCol w:w="4191"/>
        <w:gridCol w:w="1633"/>
      </w:tblGrid>
      <w:tr w14:paraId="60690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3186" w:type="dxa"/>
            <w:vAlign w:val="center"/>
          </w:tcPr>
          <w:p w14:paraId="7EE40C9F">
            <w:pPr>
              <w:keepNext w:val="0"/>
              <w:keepLines w:val="0"/>
              <w:widowControl/>
              <w:suppressLineNumbers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项目名称</w:t>
            </w:r>
          </w:p>
        </w:tc>
        <w:tc>
          <w:tcPr>
            <w:tcW w:w="4191" w:type="dxa"/>
            <w:vAlign w:val="center"/>
          </w:tcPr>
          <w:p w14:paraId="4D050C1F">
            <w:pPr>
              <w:keepNext w:val="0"/>
              <w:keepLines w:val="0"/>
              <w:widowControl/>
              <w:suppressLineNumbers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作业描述</w:t>
            </w:r>
          </w:p>
        </w:tc>
        <w:tc>
          <w:tcPr>
            <w:tcW w:w="1633" w:type="dxa"/>
            <w:vAlign w:val="center"/>
          </w:tcPr>
          <w:p w14:paraId="71D467AC">
            <w:pPr>
              <w:keepNext w:val="0"/>
              <w:keepLines w:val="0"/>
              <w:widowControl/>
              <w:suppressLineNumbers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预算单价</w:t>
            </w:r>
          </w:p>
        </w:tc>
      </w:tr>
      <w:tr w14:paraId="4C584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186" w:type="dxa"/>
            <w:vAlign w:val="center"/>
          </w:tcPr>
          <w:p w14:paraId="0E3D3217">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更换雨水边井钢钎维盖515*300内</w:t>
            </w:r>
          </w:p>
        </w:tc>
        <w:tc>
          <w:tcPr>
            <w:tcW w:w="4191" w:type="dxa"/>
            <w:vAlign w:val="center"/>
          </w:tcPr>
          <w:p w14:paraId="1D97DA05">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安放安全设施、拆除、安装井盖、清理场地</w:t>
            </w:r>
          </w:p>
        </w:tc>
        <w:tc>
          <w:tcPr>
            <w:tcW w:w="1633" w:type="dxa"/>
            <w:vAlign w:val="center"/>
          </w:tcPr>
          <w:p w14:paraId="62036EEE">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150元/块</w:t>
            </w:r>
          </w:p>
        </w:tc>
      </w:tr>
      <w:tr w14:paraId="1B42E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186" w:type="dxa"/>
            <w:vAlign w:val="center"/>
          </w:tcPr>
          <w:p w14:paraId="129E6E01">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更换雨水边井钢钎维盖、座515*300内</w:t>
            </w:r>
          </w:p>
        </w:tc>
        <w:tc>
          <w:tcPr>
            <w:tcW w:w="4191" w:type="dxa"/>
            <w:vAlign w:val="center"/>
          </w:tcPr>
          <w:p w14:paraId="08C3836E">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安放安全设施、拆除、安装井框、盖、清理场地</w:t>
            </w:r>
          </w:p>
        </w:tc>
        <w:tc>
          <w:tcPr>
            <w:tcW w:w="1633" w:type="dxa"/>
            <w:vAlign w:val="center"/>
          </w:tcPr>
          <w:p w14:paraId="15A36697">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280元/套</w:t>
            </w:r>
          </w:p>
        </w:tc>
      </w:tr>
      <w:tr w14:paraId="7DA61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186" w:type="dxa"/>
            <w:vAlign w:val="center"/>
          </w:tcPr>
          <w:p w14:paraId="3967D417">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更换雨水边井钢钎维盖500*500内</w:t>
            </w:r>
          </w:p>
        </w:tc>
        <w:tc>
          <w:tcPr>
            <w:tcW w:w="4191" w:type="dxa"/>
            <w:vAlign w:val="center"/>
          </w:tcPr>
          <w:p w14:paraId="78FE07F2">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安放安全设施、拆除、安装盖、清理场地</w:t>
            </w:r>
          </w:p>
        </w:tc>
        <w:tc>
          <w:tcPr>
            <w:tcW w:w="1633" w:type="dxa"/>
            <w:vAlign w:val="center"/>
          </w:tcPr>
          <w:p w14:paraId="4D143AFC">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268元/块</w:t>
            </w:r>
          </w:p>
        </w:tc>
      </w:tr>
      <w:tr w14:paraId="08B64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186" w:type="dxa"/>
            <w:vAlign w:val="center"/>
          </w:tcPr>
          <w:p w14:paraId="4AB5932F">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更换雨水边井钢钎维盖座500*500内</w:t>
            </w:r>
          </w:p>
        </w:tc>
        <w:tc>
          <w:tcPr>
            <w:tcW w:w="4191" w:type="dxa"/>
            <w:vAlign w:val="center"/>
          </w:tcPr>
          <w:p w14:paraId="0BF2D5D3">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安放安全设施、拆除、安装井框、盖、清理场地</w:t>
            </w:r>
          </w:p>
        </w:tc>
        <w:tc>
          <w:tcPr>
            <w:tcW w:w="1633" w:type="dxa"/>
            <w:vAlign w:val="center"/>
          </w:tcPr>
          <w:p w14:paraId="165592F1">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480元/套</w:t>
            </w:r>
          </w:p>
        </w:tc>
      </w:tr>
      <w:tr w14:paraId="4EAC0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186" w:type="dxa"/>
            <w:vAlign w:val="center"/>
          </w:tcPr>
          <w:p w14:paraId="4B42174D">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更换D700钢钎维盖（C250级）</w:t>
            </w:r>
          </w:p>
        </w:tc>
        <w:tc>
          <w:tcPr>
            <w:tcW w:w="4191" w:type="dxa"/>
            <w:vAlign w:val="center"/>
          </w:tcPr>
          <w:p w14:paraId="45AB4B13">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安放安全设施、拆除、安装井盖、清理场地</w:t>
            </w:r>
          </w:p>
        </w:tc>
        <w:tc>
          <w:tcPr>
            <w:tcW w:w="1633" w:type="dxa"/>
            <w:vAlign w:val="center"/>
          </w:tcPr>
          <w:p w14:paraId="6AD87219">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310元/块</w:t>
            </w:r>
          </w:p>
        </w:tc>
      </w:tr>
      <w:tr w14:paraId="3EE80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186" w:type="dxa"/>
            <w:vAlign w:val="center"/>
          </w:tcPr>
          <w:p w14:paraId="6CCDA33E">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更换D700钢钎维盖座（C250级）</w:t>
            </w:r>
          </w:p>
        </w:tc>
        <w:tc>
          <w:tcPr>
            <w:tcW w:w="4191" w:type="dxa"/>
            <w:vAlign w:val="center"/>
          </w:tcPr>
          <w:p w14:paraId="24455195">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安放安全设施、拆除、安装井框、盖、清理场地</w:t>
            </w:r>
          </w:p>
        </w:tc>
        <w:tc>
          <w:tcPr>
            <w:tcW w:w="1633" w:type="dxa"/>
            <w:vAlign w:val="center"/>
          </w:tcPr>
          <w:p w14:paraId="6E98FA9D">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600元/套</w:t>
            </w:r>
          </w:p>
        </w:tc>
      </w:tr>
      <w:tr w14:paraId="0BF4B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186" w:type="dxa"/>
            <w:vAlign w:val="center"/>
          </w:tcPr>
          <w:p w14:paraId="69D5B31C">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更换D700钢钎维盖（D400级）</w:t>
            </w:r>
          </w:p>
        </w:tc>
        <w:tc>
          <w:tcPr>
            <w:tcW w:w="4191" w:type="dxa"/>
            <w:vAlign w:val="center"/>
          </w:tcPr>
          <w:p w14:paraId="7C3B4129">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安放安全设施、拆除、安装井盖、清理场地</w:t>
            </w:r>
          </w:p>
        </w:tc>
        <w:tc>
          <w:tcPr>
            <w:tcW w:w="1633" w:type="dxa"/>
            <w:vAlign w:val="center"/>
          </w:tcPr>
          <w:p w14:paraId="4938119C">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360元/块</w:t>
            </w:r>
          </w:p>
        </w:tc>
      </w:tr>
      <w:tr w14:paraId="38B32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186" w:type="dxa"/>
            <w:vAlign w:val="center"/>
          </w:tcPr>
          <w:p w14:paraId="0AE2A5B1">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更换D700钢钎维盖座（D400级）</w:t>
            </w:r>
          </w:p>
        </w:tc>
        <w:tc>
          <w:tcPr>
            <w:tcW w:w="4191" w:type="dxa"/>
            <w:vAlign w:val="center"/>
          </w:tcPr>
          <w:p w14:paraId="26CC3218">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安放安全设施、拆除、安装井框、盖、清理场地</w:t>
            </w:r>
          </w:p>
        </w:tc>
        <w:tc>
          <w:tcPr>
            <w:tcW w:w="1633" w:type="dxa"/>
            <w:vAlign w:val="center"/>
          </w:tcPr>
          <w:p w14:paraId="2325B616">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680元/套</w:t>
            </w:r>
          </w:p>
        </w:tc>
      </w:tr>
      <w:tr w14:paraId="7446C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186" w:type="dxa"/>
            <w:vAlign w:val="center"/>
          </w:tcPr>
          <w:p w14:paraId="6492276D">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更换D800钢钎维盖（C250级）</w:t>
            </w:r>
          </w:p>
        </w:tc>
        <w:tc>
          <w:tcPr>
            <w:tcW w:w="4191" w:type="dxa"/>
            <w:vAlign w:val="center"/>
          </w:tcPr>
          <w:p w14:paraId="72122429">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安放安全设施、拆除、安装井盖、清理场地</w:t>
            </w:r>
          </w:p>
        </w:tc>
        <w:tc>
          <w:tcPr>
            <w:tcW w:w="1633" w:type="dxa"/>
            <w:vAlign w:val="center"/>
          </w:tcPr>
          <w:p w14:paraId="71F11C25">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334元/块</w:t>
            </w:r>
          </w:p>
        </w:tc>
      </w:tr>
      <w:tr w14:paraId="28661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186" w:type="dxa"/>
            <w:vAlign w:val="center"/>
          </w:tcPr>
          <w:p w14:paraId="1E4940F2">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更换D800钢钎维盖座（C250级）</w:t>
            </w:r>
          </w:p>
        </w:tc>
        <w:tc>
          <w:tcPr>
            <w:tcW w:w="4191" w:type="dxa"/>
            <w:vAlign w:val="center"/>
          </w:tcPr>
          <w:p w14:paraId="3C7D80A3">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安放安全设施、拆除、安装井框、盖、清理场地</w:t>
            </w:r>
          </w:p>
        </w:tc>
        <w:tc>
          <w:tcPr>
            <w:tcW w:w="1633" w:type="dxa"/>
            <w:vAlign w:val="center"/>
          </w:tcPr>
          <w:p w14:paraId="6D2A1D8E">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700元/套</w:t>
            </w:r>
          </w:p>
        </w:tc>
      </w:tr>
      <w:tr w14:paraId="6BB18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186" w:type="dxa"/>
            <w:vAlign w:val="center"/>
          </w:tcPr>
          <w:p w14:paraId="2B1F0753">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更换D800钢钎维盖（D400级）</w:t>
            </w:r>
          </w:p>
        </w:tc>
        <w:tc>
          <w:tcPr>
            <w:tcW w:w="4191" w:type="dxa"/>
            <w:vAlign w:val="center"/>
          </w:tcPr>
          <w:p w14:paraId="49AECFDC">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安放安全设施、拆除、安装井盖、清理场地</w:t>
            </w:r>
          </w:p>
        </w:tc>
        <w:tc>
          <w:tcPr>
            <w:tcW w:w="1633" w:type="dxa"/>
            <w:vAlign w:val="center"/>
          </w:tcPr>
          <w:p w14:paraId="46423D6A">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392元/块</w:t>
            </w:r>
          </w:p>
        </w:tc>
      </w:tr>
      <w:tr w14:paraId="38496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186" w:type="dxa"/>
            <w:vAlign w:val="center"/>
          </w:tcPr>
          <w:p w14:paraId="64F2C19C">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更换D800钢钎维盖座（D400级）</w:t>
            </w:r>
          </w:p>
        </w:tc>
        <w:tc>
          <w:tcPr>
            <w:tcW w:w="4191" w:type="dxa"/>
            <w:vAlign w:val="center"/>
          </w:tcPr>
          <w:p w14:paraId="741C1C53">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安放安全设施、拆除、安装井框、盖、清理场地</w:t>
            </w:r>
          </w:p>
        </w:tc>
        <w:tc>
          <w:tcPr>
            <w:tcW w:w="1633" w:type="dxa"/>
            <w:vAlign w:val="center"/>
          </w:tcPr>
          <w:p w14:paraId="3396B4FE">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780元/套</w:t>
            </w:r>
          </w:p>
        </w:tc>
      </w:tr>
      <w:tr w14:paraId="6F783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186" w:type="dxa"/>
            <w:vAlign w:val="center"/>
          </w:tcPr>
          <w:p w14:paraId="7DBDC64D">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疏通车</w:t>
            </w:r>
          </w:p>
        </w:tc>
        <w:tc>
          <w:tcPr>
            <w:tcW w:w="4191" w:type="dxa"/>
            <w:vAlign w:val="center"/>
          </w:tcPr>
          <w:p w14:paraId="7EED640D">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含机械进出场、驾驶员</w:t>
            </w:r>
          </w:p>
        </w:tc>
        <w:tc>
          <w:tcPr>
            <w:tcW w:w="1633" w:type="dxa"/>
            <w:vAlign w:val="center"/>
          </w:tcPr>
          <w:p w14:paraId="71F1F57A">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2200元/台班</w:t>
            </w:r>
          </w:p>
        </w:tc>
      </w:tr>
      <w:tr w14:paraId="76B39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3186" w:type="dxa"/>
            <w:vAlign w:val="center"/>
          </w:tcPr>
          <w:p w14:paraId="4009B24E">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吸污车5t</w:t>
            </w:r>
          </w:p>
        </w:tc>
        <w:tc>
          <w:tcPr>
            <w:tcW w:w="4191" w:type="dxa"/>
            <w:vAlign w:val="center"/>
          </w:tcPr>
          <w:p w14:paraId="3E22660D">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含机械进出场、驾驶员，污泥运输并按规范处置，运距自行考虑</w:t>
            </w:r>
          </w:p>
        </w:tc>
        <w:tc>
          <w:tcPr>
            <w:tcW w:w="1633" w:type="dxa"/>
            <w:vAlign w:val="center"/>
          </w:tcPr>
          <w:p w14:paraId="56045AB1">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680元/台班</w:t>
            </w:r>
          </w:p>
        </w:tc>
      </w:tr>
      <w:tr w14:paraId="0BB1F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3186" w:type="dxa"/>
            <w:vAlign w:val="center"/>
          </w:tcPr>
          <w:p w14:paraId="3B6A6921">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吸污车10t</w:t>
            </w:r>
          </w:p>
        </w:tc>
        <w:tc>
          <w:tcPr>
            <w:tcW w:w="4191" w:type="dxa"/>
            <w:vAlign w:val="center"/>
          </w:tcPr>
          <w:p w14:paraId="05AE70B1">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含机械进出场、驾驶员，污泥运输并按规范处置，运距自行考虑</w:t>
            </w:r>
          </w:p>
        </w:tc>
        <w:tc>
          <w:tcPr>
            <w:tcW w:w="1633" w:type="dxa"/>
            <w:vAlign w:val="center"/>
          </w:tcPr>
          <w:p w14:paraId="0BF2C1C4">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1500元/台班</w:t>
            </w:r>
          </w:p>
        </w:tc>
      </w:tr>
      <w:tr w14:paraId="58E1D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186" w:type="dxa"/>
            <w:vAlign w:val="center"/>
          </w:tcPr>
          <w:p w14:paraId="6D9DB7AD">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人工</w:t>
            </w:r>
          </w:p>
        </w:tc>
        <w:tc>
          <w:tcPr>
            <w:tcW w:w="4191" w:type="dxa"/>
            <w:vAlign w:val="center"/>
          </w:tcPr>
          <w:p w14:paraId="6D0FD36C">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633" w:type="dxa"/>
            <w:vAlign w:val="center"/>
          </w:tcPr>
          <w:p w14:paraId="3E2C8F2F">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250元/工日</w:t>
            </w:r>
          </w:p>
        </w:tc>
      </w:tr>
      <w:tr w14:paraId="143C9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186" w:type="dxa"/>
            <w:vAlign w:val="center"/>
          </w:tcPr>
          <w:p w14:paraId="7C157782">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农用车</w:t>
            </w:r>
          </w:p>
        </w:tc>
        <w:tc>
          <w:tcPr>
            <w:tcW w:w="4191" w:type="dxa"/>
            <w:vAlign w:val="center"/>
          </w:tcPr>
          <w:p w14:paraId="38FD750B">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5t</w:t>
            </w:r>
          </w:p>
        </w:tc>
        <w:tc>
          <w:tcPr>
            <w:tcW w:w="1633" w:type="dxa"/>
            <w:vAlign w:val="center"/>
          </w:tcPr>
          <w:p w14:paraId="77799F35">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600元/台班</w:t>
            </w:r>
          </w:p>
        </w:tc>
      </w:tr>
      <w:tr w14:paraId="69C61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186" w:type="dxa"/>
            <w:vAlign w:val="center"/>
          </w:tcPr>
          <w:p w14:paraId="3EAFEA03">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自卸汽车</w:t>
            </w:r>
          </w:p>
        </w:tc>
        <w:tc>
          <w:tcPr>
            <w:tcW w:w="4191" w:type="dxa"/>
            <w:vAlign w:val="center"/>
          </w:tcPr>
          <w:p w14:paraId="180DCE4A">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6-8t</w:t>
            </w:r>
          </w:p>
        </w:tc>
        <w:tc>
          <w:tcPr>
            <w:tcW w:w="1633" w:type="dxa"/>
            <w:vAlign w:val="center"/>
          </w:tcPr>
          <w:p w14:paraId="32515F60">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800元/台班</w:t>
            </w:r>
          </w:p>
        </w:tc>
      </w:tr>
      <w:tr w14:paraId="0F675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186" w:type="dxa"/>
            <w:vAlign w:val="center"/>
          </w:tcPr>
          <w:p w14:paraId="32B485CF">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大挖机</w:t>
            </w:r>
          </w:p>
        </w:tc>
        <w:tc>
          <w:tcPr>
            <w:tcW w:w="4191" w:type="dxa"/>
            <w:vAlign w:val="center"/>
          </w:tcPr>
          <w:p w14:paraId="6CA96446">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1.0m³</w:t>
            </w:r>
          </w:p>
        </w:tc>
        <w:tc>
          <w:tcPr>
            <w:tcW w:w="1633" w:type="dxa"/>
            <w:vAlign w:val="center"/>
          </w:tcPr>
          <w:p w14:paraId="688E4139">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2200元/台班</w:t>
            </w:r>
          </w:p>
        </w:tc>
      </w:tr>
      <w:tr w14:paraId="0988A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186" w:type="dxa"/>
            <w:vAlign w:val="center"/>
          </w:tcPr>
          <w:p w14:paraId="109E2723">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小挖机</w:t>
            </w:r>
          </w:p>
        </w:tc>
        <w:tc>
          <w:tcPr>
            <w:tcW w:w="4191" w:type="dxa"/>
            <w:vAlign w:val="center"/>
          </w:tcPr>
          <w:p w14:paraId="4EB4F3C9">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0.6m³</w:t>
            </w:r>
          </w:p>
        </w:tc>
        <w:tc>
          <w:tcPr>
            <w:tcW w:w="1633" w:type="dxa"/>
            <w:vAlign w:val="center"/>
          </w:tcPr>
          <w:p w14:paraId="0D4AAB15">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1200元/台班</w:t>
            </w:r>
          </w:p>
        </w:tc>
      </w:tr>
      <w:tr w14:paraId="6E8D6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186" w:type="dxa"/>
            <w:vAlign w:val="center"/>
          </w:tcPr>
          <w:p w14:paraId="144A7E8A">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挖机拖车费</w:t>
            </w:r>
          </w:p>
        </w:tc>
        <w:tc>
          <w:tcPr>
            <w:tcW w:w="4191" w:type="dxa"/>
            <w:vAlign w:val="center"/>
          </w:tcPr>
          <w:p w14:paraId="082E9D54">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挖机单次≥1台班不计拖车费</w:t>
            </w:r>
          </w:p>
        </w:tc>
        <w:tc>
          <w:tcPr>
            <w:tcW w:w="1633" w:type="dxa"/>
            <w:vAlign w:val="center"/>
          </w:tcPr>
          <w:p w14:paraId="5072ABCA">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500元/次</w:t>
            </w:r>
          </w:p>
        </w:tc>
      </w:tr>
      <w:tr w14:paraId="23E19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186" w:type="dxa"/>
            <w:vAlign w:val="center"/>
          </w:tcPr>
          <w:p w14:paraId="1C4AC968">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发电机组</w:t>
            </w:r>
          </w:p>
        </w:tc>
        <w:tc>
          <w:tcPr>
            <w:tcW w:w="4191" w:type="dxa"/>
            <w:vAlign w:val="center"/>
          </w:tcPr>
          <w:p w14:paraId="2202226B">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10千瓦</w:t>
            </w:r>
          </w:p>
        </w:tc>
        <w:tc>
          <w:tcPr>
            <w:tcW w:w="1633" w:type="dxa"/>
            <w:vAlign w:val="center"/>
          </w:tcPr>
          <w:p w14:paraId="420014BD">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450元/台班</w:t>
            </w:r>
          </w:p>
        </w:tc>
      </w:tr>
      <w:tr w14:paraId="4DABA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186" w:type="dxa"/>
            <w:vAlign w:val="center"/>
          </w:tcPr>
          <w:p w14:paraId="26DC48D9">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发电机组</w:t>
            </w:r>
          </w:p>
        </w:tc>
        <w:tc>
          <w:tcPr>
            <w:tcW w:w="4191" w:type="dxa"/>
            <w:vAlign w:val="center"/>
          </w:tcPr>
          <w:p w14:paraId="52C75307">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30千瓦</w:t>
            </w:r>
          </w:p>
        </w:tc>
        <w:tc>
          <w:tcPr>
            <w:tcW w:w="1633" w:type="dxa"/>
            <w:vAlign w:val="center"/>
          </w:tcPr>
          <w:p w14:paraId="51E58DA0">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650元/台班</w:t>
            </w:r>
          </w:p>
        </w:tc>
      </w:tr>
    </w:tbl>
    <w:p w14:paraId="34A54EA0">
      <w:pPr>
        <w:numPr>
          <w:ilvl w:val="0"/>
          <w:numId w:val="0"/>
        </w:numPr>
        <w:spacing w:line="440" w:lineRule="exact"/>
        <w:ind w:firstLine="482" w:firstLineChars="200"/>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kern w:val="2"/>
          <w:sz w:val="24"/>
          <w:szCs w:val="24"/>
          <w:highlight w:val="none"/>
          <w:lang w:val="en-US" w:eastAsia="zh-CN" w:bidi="ar-SA"/>
        </w:rPr>
        <w:t>3、</w:t>
      </w:r>
      <w:r>
        <w:rPr>
          <w:rFonts w:hint="eastAsia" w:ascii="宋体" w:hAnsi="宋体" w:eastAsia="宋体" w:cs="宋体"/>
          <w:b/>
          <w:bCs/>
          <w:color w:val="auto"/>
          <w:sz w:val="24"/>
          <w:szCs w:val="24"/>
          <w:highlight w:val="none"/>
          <w:lang w:val="en-US" w:eastAsia="zh-CN"/>
        </w:rPr>
        <w:t>防汛配合</w:t>
      </w:r>
    </w:p>
    <w:tbl>
      <w:tblPr>
        <w:tblStyle w:val="5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0"/>
        <w:gridCol w:w="4882"/>
        <w:gridCol w:w="1718"/>
      </w:tblGrid>
      <w:tr w14:paraId="14E7E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2340" w:type="dxa"/>
            <w:vAlign w:val="center"/>
          </w:tcPr>
          <w:p w14:paraId="1BDF7451">
            <w:pPr>
              <w:keepNext w:val="0"/>
              <w:keepLines w:val="0"/>
              <w:widowControl/>
              <w:suppressLineNumbers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项目名称</w:t>
            </w:r>
          </w:p>
        </w:tc>
        <w:tc>
          <w:tcPr>
            <w:tcW w:w="4882" w:type="dxa"/>
            <w:vAlign w:val="center"/>
          </w:tcPr>
          <w:p w14:paraId="20C26A70">
            <w:pPr>
              <w:keepNext w:val="0"/>
              <w:keepLines w:val="0"/>
              <w:widowControl/>
              <w:suppressLineNumbers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作业描述</w:t>
            </w:r>
          </w:p>
        </w:tc>
        <w:tc>
          <w:tcPr>
            <w:tcW w:w="1718" w:type="dxa"/>
            <w:vAlign w:val="center"/>
          </w:tcPr>
          <w:p w14:paraId="0DB6BCC1">
            <w:pPr>
              <w:keepNext w:val="0"/>
              <w:keepLines w:val="0"/>
              <w:widowControl/>
              <w:suppressLineNumbers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预算单价</w:t>
            </w:r>
          </w:p>
        </w:tc>
      </w:tr>
      <w:tr w14:paraId="0A086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340" w:type="dxa"/>
            <w:vAlign w:val="center"/>
          </w:tcPr>
          <w:p w14:paraId="755AC4D6">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疏通车</w:t>
            </w:r>
          </w:p>
        </w:tc>
        <w:tc>
          <w:tcPr>
            <w:tcW w:w="4882" w:type="dxa"/>
            <w:vAlign w:val="center"/>
          </w:tcPr>
          <w:p w14:paraId="70E378FF">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接到通知后24小时待命并配合工作（8小时/台班）</w:t>
            </w:r>
          </w:p>
        </w:tc>
        <w:tc>
          <w:tcPr>
            <w:tcW w:w="1718" w:type="dxa"/>
            <w:vAlign w:val="center"/>
          </w:tcPr>
          <w:p w14:paraId="6D50D87F">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3000元/台班</w:t>
            </w:r>
          </w:p>
        </w:tc>
      </w:tr>
      <w:tr w14:paraId="4995F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340" w:type="dxa"/>
            <w:vAlign w:val="center"/>
          </w:tcPr>
          <w:p w14:paraId="48CF270A">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工程车</w:t>
            </w:r>
          </w:p>
        </w:tc>
        <w:tc>
          <w:tcPr>
            <w:tcW w:w="4882" w:type="dxa"/>
            <w:vAlign w:val="center"/>
          </w:tcPr>
          <w:p w14:paraId="48B89FAF">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接到通知后24小时待命并配合工作（8小时/台班）</w:t>
            </w:r>
          </w:p>
        </w:tc>
        <w:tc>
          <w:tcPr>
            <w:tcW w:w="1718" w:type="dxa"/>
            <w:vAlign w:val="center"/>
          </w:tcPr>
          <w:p w14:paraId="7B4E53AC">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600元/台班</w:t>
            </w:r>
          </w:p>
        </w:tc>
      </w:tr>
      <w:tr w14:paraId="22509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340" w:type="dxa"/>
            <w:vAlign w:val="center"/>
          </w:tcPr>
          <w:p w14:paraId="706B3F1C">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防汛人工</w:t>
            </w:r>
          </w:p>
        </w:tc>
        <w:tc>
          <w:tcPr>
            <w:tcW w:w="4882" w:type="dxa"/>
            <w:vAlign w:val="center"/>
          </w:tcPr>
          <w:p w14:paraId="49518F97">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接到通知后24小时待命并配合工作（8小时/工日）</w:t>
            </w:r>
          </w:p>
        </w:tc>
        <w:tc>
          <w:tcPr>
            <w:tcW w:w="1718" w:type="dxa"/>
            <w:vAlign w:val="center"/>
          </w:tcPr>
          <w:p w14:paraId="5103960C">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320元/工日</w:t>
            </w:r>
          </w:p>
        </w:tc>
      </w:tr>
    </w:tbl>
    <w:p w14:paraId="0BE3F494">
      <w:pPr>
        <w:keepNext w:val="0"/>
        <w:keepLines w:val="0"/>
        <w:pageBreakBefore w:val="0"/>
        <w:kinsoku/>
        <w:wordWrap/>
        <w:overflowPunct/>
        <w:topLinePunct w:val="0"/>
        <w:autoSpaceDE w:val="0"/>
        <w:autoSpaceDN w:val="0"/>
        <w:bidi w:val="0"/>
        <w:adjustRightInd w:val="0"/>
        <w:snapToGrid/>
        <w:spacing w:line="480" w:lineRule="exact"/>
        <w:ind w:firstLine="361" w:firstLineChars="15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b/>
          <w:bCs/>
          <w:color w:val="auto"/>
          <w:kern w:val="0"/>
          <w:sz w:val="24"/>
          <w:szCs w:val="24"/>
          <w:highlight w:val="none"/>
          <w:lang w:val="en-US" w:eastAsia="zh-CN"/>
        </w:rPr>
        <w:t>②</w:t>
      </w:r>
      <w:r>
        <w:rPr>
          <w:rFonts w:hint="eastAsia" w:ascii="宋体" w:hAnsi="宋体" w:eastAsia="宋体" w:cs="宋体"/>
          <w:b/>
          <w:bCs/>
          <w:color w:val="auto"/>
          <w:kern w:val="0"/>
          <w:sz w:val="24"/>
          <w:szCs w:val="24"/>
          <w:highlight w:val="none"/>
        </w:rPr>
        <w:t>零星维修：</w:t>
      </w:r>
      <w:r>
        <w:rPr>
          <w:rFonts w:hint="eastAsia" w:ascii="宋体" w:hAnsi="宋体" w:eastAsia="宋体" w:cs="宋体"/>
          <w:b w:val="0"/>
          <w:bCs w:val="0"/>
          <w:color w:val="auto"/>
          <w:kern w:val="0"/>
          <w:sz w:val="24"/>
          <w:szCs w:val="24"/>
          <w:highlight w:val="none"/>
          <w:lang w:val="en-US" w:eastAsia="zh-CN"/>
        </w:rPr>
        <w:t>主要负责9套污水独立设施零星维修、超50元的维修零配件，</w:t>
      </w:r>
      <w:r>
        <w:rPr>
          <w:rFonts w:hint="eastAsia" w:ascii="宋体" w:hAnsi="宋体" w:eastAsia="宋体" w:cs="宋体"/>
          <w:color w:val="auto"/>
          <w:kern w:val="0"/>
          <w:sz w:val="24"/>
          <w:szCs w:val="24"/>
          <w:highlight w:val="none"/>
        </w:rPr>
        <w:t>该部分内容竣工验收合格后工程量以现场签证为准，竣工结算审核时，若有定额的则按照相关定额计价，若未有定额的则对其综合单价进行合理性分析（依据市场价、询价结果等多方面因素）并</w:t>
      </w:r>
      <w:r>
        <w:rPr>
          <w:rFonts w:hint="eastAsia" w:ascii="宋体" w:hAnsi="宋体" w:eastAsia="宋体" w:cs="宋体"/>
          <w:color w:val="auto"/>
          <w:kern w:val="0"/>
          <w:sz w:val="24"/>
          <w:szCs w:val="24"/>
          <w:highlight w:val="none"/>
          <w:lang w:val="en-US" w:eastAsia="zh-CN"/>
        </w:rPr>
        <w:t>经甲方</w:t>
      </w:r>
      <w:r>
        <w:rPr>
          <w:rFonts w:hint="eastAsia" w:ascii="宋体" w:hAnsi="宋体" w:eastAsia="宋体" w:cs="宋体"/>
          <w:color w:val="auto"/>
          <w:kern w:val="0"/>
          <w:sz w:val="24"/>
          <w:szCs w:val="24"/>
          <w:highlight w:val="none"/>
        </w:rPr>
        <w:t>确认。按上述方式计算出的造价*（1-</w:t>
      </w:r>
      <w:r>
        <w:rPr>
          <w:rFonts w:hint="eastAsia" w:ascii="宋体" w:hAnsi="宋体" w:eastAsia="宋体" w:cs="宋体"/>
          <w:color w:val="auto"/>
          <w:kern w:val="0"/>
          <w:sz w:val="24"/>
          <w:szCs w:val="24"/>
          <w:highlight w:val="none"/>
          <w:lang w:val="en-US" w:eastAsia="zh-CN"/>
        </w:rPr>
        <w:t>中标</w:t>
      </w:r>
      <w:r>
        <w:rPr>
          <w:rFonts w:hint="eastAsia" w:ascii="宋体" w:hAnsi="宋体" w:eastAsia="宋体" w:cs="宋体"/>
          <w:color w:val="auto"/>
          <w:kern w:val="0"/>
          <w:sz w:val="24"/>
          <w:szCs w:val="24"/>
          <w:highlight w:val="none"/>
          <w:lang w:eastAsia="zh-CN"/>
        </w:rPr>
        <w:t>优惠率</w:t>
      </w:r>
      <w:r>
        <w:rPr>
          <w:rFonts w:hint="eastAsia" w:ascii="宋体" w:hAnsi="宋体" w:eastAsia="宋体" w:cs="宋体"/>
          <w:color w:val="auto"/>
          <w:kern w:val="0"/>
          <w:sz w:val="24"/>
          <w:szCs w:val="24"/>
          <w:highlight w:val="none"/>
        </w:rPr>
        <w:t>）作为该部分最终结算价</w:t>
      </w:r>
      <w:r>
        <w:rPr>
          <w:rFonts w:hint="eastAsia" w:ascii="宋体" w:hAnsi="宋体" w:eastAsia="宋体" w:cs="宋体"/>
          <w:color w:val="auto"/>
          <w:kern w:val="0"/>
          <w:sz w:val="24"/>
          <w:szCs w:val="24"/>
          <w:highlight w:val="none"/>
          <w:lang w:eastAsia="zh-CN"/>
        </w:rPr>
        <w:t>。</w:t>
      </w:r>
    </w:p>
    <w:p w14:paraId="55615F6C">
      <w:pPr>
        <w:keepNext w:val="0"/>
        <w:keepLines w:val="0"/>
        <w:pageBreakBefore w:val="0"/>
        <w:kinsoku/>
        <w:wordWrap/>
        <w:overflowPunct/>
        <w:topLinePunct w:val="0"/>
        <w:autoSpaceDE w:val="0"/>
        <w:autoSpaceDN w:val="0"/>
        <w:bidi w:val="0"/>
        <w:adjustRightInd w:val="0"/>
        <w:snapToGrid/>
        <w:spacing w:line="480" w:lineRule="exact"/>
        <w:ind w:firstLine="361" w:firstLineChars="15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③</w:t>
      </w:r>
      <w:r>
        <w:rPr>
          <w:rFonts w:hint="eastAsia" w:ascii="宋体" w:hAnsi="宋体" w:eastAsia="宋体" w:cs="宋体"/>
          <w:b/>
          <w:bCs/>
          <w:color w:val="auto"/>
          <w:kern w:val="0"/>
          <w:sz w:val="24"/>
          <w:szCs w:val="24"/>
          <w:highlight w:val="none"/>
        </w:rPr>
        <w:t>管道检测：</w:t>
      </w:r>
      <w:r>
        <w:rPr>
          <w:rFonts w:hint="eastAsia" w:ascii="宋体" w:hAnsi="宋体" w:eastAsia="宋体" w:cs="宋体"/>
          <w:color w:val="auto"/>
          <w:kern w:val="0"/>
          <w:sz w:val="24"/>
          <w:szCs w:val="24"/>
          <w:highlight w:val="none"/>
        </w:rPr>
        <w:t>该部分内容竣工验收合格后工程量以现场签证为准，竣工结算审核时，若招标文件中有提供预算单价的则按照预算单价*（1-</w:t>
      </w:r>
      <w:r>
        <w:rPr>
          <w:rFonts w:hint="eastAsia" w:ascii="宋体" w:hAnsi="宋体" w:eastAsia="宋体" w:cs="宋体"/>
          <w:color w:val="auto"/>
          <w:kern w:val="0"/>
          <w:sz w:val="24"/>
          <w:szCs w:val="24"/>
          <w:highlight w:val="none"/>
          <w:lang w:val="en-US" w:eastAsia="zh-CN"/>
        </w:rPr>
        <w:t>中标</w:t>
      </w:r>
      <w:r>
        <w:rPr>
          <w:rFonts w:hint="eastAsia" w:ascii="宋体" w:hAnsi="宋体" w:eastAsia="宋体" w:cs="宋体"/>
          <w:color w:val="auto"/>
          <w:kern w:val="0"/>
          <w:sz w:val="24"/>
          <w:szCs w:val="24"/>
          <w:highlight w:val="none"/>
          <w:lang w:eastAsia="zh-CN"/>
        </w:rPr>
        <w:t>优惠率</w:t>
      </w:r>
      <w:r>
        <w:rPr>
          <w:rFonts w:hint="eastAsia" w:ascii="宋体" w:hAnsi="宋体" w:eastAsia="宋体" w:cs="宋体"/>
          <w:color w:val="auto"/>
          <w:kern w:val="0"/>
          <w:sz w:val="24"/>
          <w:szCs w:val="24"/>
          <w:highlight w:val="none"/>
        </w:rPr>
        <w:t>）结算单价，若无预算单价的则按照相关定额计取，若未有定额的则对其综合单价进行合理性分析（依据市场价、询价结果等多方面因素）并经</w:t>
      </w:r>
      <w:r>
        <w:rPr>
          <w:rFonts w:hint="eastAsia" w:ascii="宋体" w:hAnsi="宋体" w:eastAsia="宋体" w:cs="宋体"/>
          <w:color w:val="auto"/>
          <w:kern w:val="0"/>
          <w:sz w:val="24"/>
          <w:szCs w:val="24"/>
          <w:highlight w:val="none"/>
          <w:lang w:val="en-US" w:eastAsia="zh-CN"/>
        </w:rPr>
        <w:t>甲方</w:t>
      </w:r>
      <w:r>
        <w:rPr>
          <w:rFonts w:hint="eastAsia" w:ascii="宋体" w:hAnsi="宋体" w:eastAsia="宋体" w:cs="宋体"/>
          <w:color w:val="auto"/>
          <w:kern w:val="0"/>
          <w:sz w:val="24"/>
          <w:szCs w:val="24"/>
          <w:highlight w:val="none"/>
        </w:rPr>
        <w:t>确认</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其中管径600mm以下的管道检测成像的预算单价为30元/m（需提供影像资料）</w:t>
      </w:r>
      <w:r>
        <w:rPr>
          <w:rFonts w:hint="eastAsia" w:ascii="宋体" w:hAnsi="宋体" w:eastAsia="宋体" w:cs="宋体"/>
          <w:color w:val="auto"/>
          <w:kern w:val="0"/>
          <w:sz w:val="24"/>
          <w:szCs w:val="24"/>
          <w:highlight w:val="none"/>
          <w:lang w:eastAsia="zh-CN"/>
        </w:rPr>
        <w:t>。</w:t>
      </w:r>
    </w:p>
    <w:p w14:paraId="17DA93E6">
      <w:pPr>
        <w:keepNext w:val="0"/>
        <w:keepLines w:val="0"/>
        <w:pageBreakBefore w:val="0"/>
        <w:kinsoku/>
        <w:wordWrap/>
        <w:overflowPunct/>
        <w:topLinePunct w:val="0"/>
        <w:bidi w:val="0"/>
        <w:snapToGrid/>
        <w:spacing w:line="48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1.4.</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付款方式：</w:t>
      </w:r>
    </w:p>
    <w:p w14:paraId="49E82740">
      <w:pPr>
        <w:keepNext w:val="0"/>
        <w:keepLines w:val="0"/>
        <w:pageBreakBefore w:val="0"/>
        <w:kinsoku/>
        <w:wordWrap/>
        <w:overflowPunct/>
        <w:topLinePunct w:val="0"/>
        <w:autoSpaceDE w:val="0"/>
        <w:autoSpaceDN w:val="0"/>
        <w:bidi w:val="0"/>
        <w:adjustRightInd w:val="0"/>
        <w:snapToGrid/>
        <w:spacing w:line="480" w:lineRule="exact"/>
        <w:ind w:firstLine="360" w:firstLineChars="15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1 \* GB3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①</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合同签订后一个月内，甲方向乙方支付合同款项的</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0%作为预付款</w:t>
      </w:r>
      <w:r>
        <w:rPr>
          <w:rFonts w:hint="eastAsia" w:ascii="宋体" w:hAnsi="宋体" w:eastAsia="宋体" w:cs="宋体"/>
          <w:color w:val="auto"/>
          <w:sz w:val="24"/>
          <w:szCs w:val="24"/>
          <w:highlight w:val="none"/>
          <w:lang w:val="zh-CN"/>
        </w:rPr>
        <w:t>。</w:t>
      </w:r>
    </w:p>
    <w:p w14:paraId="13559B28">
      <w:pPr>
        <w:keepNext w:val="0"/>
        <w:keepLines w:val="0"/>
        <w:pageBreakBefore w:val="0"/>
        <w:kinsoku/>
        <w:wordWrap/>
        <w:overflowPunct/>
        <w:topLinePunct w:val="0"/>
        <w:autoSpaceDE w:val="0"/>
        <w:autoSpaceDN w:val="0"/>
        <w:bidi w:val="0"/>
        <w:adjustRightInd w:val="0"/>
        <w:snapToGrid/>
        <w:spacing w:line="480" w:lineRule="exact"/>
        <w:ind w:firstLine="360" w:firstLineChars="15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 2 \* GB3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②</w:t>
      </w:r>
      <w:r>
        <w:rPr>
          <w:rFonts w:hint="eastAsia" w:ascii="宋体" w:hAnsi="宋体" w:eastAsia="宋体" w:cs="宋体"/>
          <w:bCs/>
          <w:color w:val="auto"/>
          <w:sz w:val="24"/>
          <w:szCs w:val="24"/>
          <w:highlight w:val="none"/>
        </w:rPr>
        <w:fldChar w:fldCharType="end"/>
      </w:r>
      <w:r>
        <w:rPr>
          <w:rFonts w:hint="eastAsia" w:ascii="宋体" w:hAnsi="宋体" w:eastAsia="宋体" w:cs="宋体"/>
          <w:color w:val="auto"/>
          <w:kern w:val="0"/>
          <w:sz w:val="24"/>
          <w:szCs w:val="24"/>
          <w:highlight w:val="none"/>
        </w:rPr>
        <w:t>项目</w:t>
      </w:r>
      <w:r>
        <w:rPr>
          <w:rFonts w:hint="eastAsia" w:ascii="宋体" w:hAnsi="宋体" w:eastAsia="宋体" w:cs="宋体"/>
          <w:color w:val="auto"/>
          <w:kern w:val="0"/>
          <w:sz w:val="24"/>
          <w:szCs w:val="24"/>
          <w:highlight w:val="none"/>
          <w:lang w:val="en-US" w:eastAsia="zh-CN"/>
        </w:rPr>
        <w:t>竣工验收合格后</w:t>
      </w:r>
      <w:r>
        <w:rPr>
          <w:rFonts w:hint="eastAsia" w:ascii="宋体" w:hAnsi="宋体" w:eastAsia="宋体" w:cs="宋体"/>
          <w:color w:val="auto"/>
          <w:kern w:val="0"/>
          <w:sz w:val="24"/>
          <w:szCs w:val="24"/>
          <w:highlight w:val="none"/>
          <w:lang w:eastAsia="zh-CN"/>
        </w:rPr>
        <w:t>，甲方向乙方支付合同款项的</w:t>
      </w:r>
      <w:r>
        <w:rPr>
          <w:rFonts w:hint="eastAsia" w:ascii="宋体" w:hAnsi="宋体" w:eastAsia="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rPr>
        <w:t>0%</w:t>
      </w:r>
      <w:r>
        <w:rPr>
          <w:rFonts w:hint="eastAsia" w:ascii="宋体" w:hAnsi="宋体" w:eastAsia="宋体" w:cs="宋体"/>
          <w:color w:val="auto"/>
          <w:kern w:val="0"/>
          <w:sz w:val="24"/>
          <w:szCs w:val="24"/>
          <w:highlight w:val="none"/>
          <w:lang w:eastAsia="zh-CN"/>
        </w:rPr>
        <w:t>。</w:t>
      </w:r>
    </w:p>
    <w:p w14:paraId="344271DC">
      <w:pPr>
        <w:keepNext w:val="0"/>
        <w:keepLines w:val="0"/>
        <w:pageBreakBefore w:val="0"/>
        <w:kinsoku/>
        <w:wordWrap/>
        <w:overflowPunct/>
        <w:topLinePunct w:val="0"/>
        <w:autoSpaceDE w:val="0"/>
        <w:autoSpaceDN w:val="0"/>
        <w:bidi w:val="0"/>
        <w:adjustRightInd w:val="0"/>
        <w:snapToGrid/>
        <w:spacing w:line="480" w:lineRule="exact"/>
        <w:ind w:firstLine="360" w:firstLineChars="15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sz w:val="24"/>
          <w:szCs w:val="24"/>
          <w:highlight w:val="none"/>
          <w:lang w:val="zh-CN"/>
        </w:rPr>
        <w:t>③</w:t>
      </w:r>
      <w:r>
        <w:rPr>
          <w:rFonts w:hint="eastAsia" w:ascii="宋体" w:hAnsi="宋体" w:eastAsia="宋体" w:cs="宋体"/>
          <w:color w:val="auto"/>
          <w:kern w:val="0"/>
          <w:sz w:val="24"/>
          <w:szCs w:val="24"/>
          <w:highlight w:val="none"/>
          <w:lang w:val="en-US" w:eastAsia="zh-CN"/>
        </w:rPr>
        <w:t>第二年甲方向乙方付至审计价的60%</w:t>
      </w:r>
      <w:r>
        <w:rPr>
          <w:rFonts w:hint="eastAsia" w:ascii="宋体" w:hAnsi="宋体" w:eastAsia="宋体" w:cs="宋体"/>
          <w:color w:val="auto"/>
          <w:kern w:val="0"/>
          <w:sz w:val="24"/>
          <w:szCs w:val="24"/>
          <w:highlight w:val="none"/>
          <w:lang w:eastAsia="zh-CN"/>
        </w:rPr>
        <w:t>。</w:t>
      </w:r>
    </w:p>
    <w:p w14:paraId="59E0F117">
      <w:pPr>
        <w:keepNext w:val="0"/>
        <w:keepLines w:val="0"/>
        <w:pageBreakBefore w:val="0"/>
        <w:kinsoku/>
        <w:wordWrap/>
        <w:overflowPunct/>
        <w:topLinePunct w:val="0"/>
        <w:autoSpaceDE w:val="0"/>
        <w:autoSpaceDN w:val="0"/>
        <w:bidi w:val="0"/>
        <w:adjustRightInd w:val="0"/>
        <w:snapToGrid/>
        <w:spacing w:line="480" w:lineRule="exact"/>
        <w:ind w:firstLine="360" w:firstLineChars="15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④第三年甲方向乙方付至审计价的80%</w:t>
      </w:r>
    </w:p>
    <w:p w14:paraId="1F69D592">
      <w:pPr>
        <w:keepNext w:val="0"/>
        <w:keepLines w:val="0"/>
        <w:pageBreakBefore w:val="0"/>
        <w:kinsoku/>
        <w:wordWrap/>
        <w:overflowPunct/>
        <w:topLinePunct w:val="0"/>
        <w:autoSpaceDE w:val="0"/>
        <w:autoSpaceDN w:val="0"/>
        <w:bidi w:val="0"/>
        <w:adjustRightInd w:val="0"/>
        <w:snapToGrid/>
        <w:spacing w:line="480" w:lineRule="exact"/>
        <w:ind w:firstLine="360" w:firstLineChars="150"/>
        <w:textAlignment w:val="auto"/>
        <w:rPr>
          <w:rFonts w:hint="eastAsia" w:ascii="宋体" w:hAnsi="宋体" w:eastAsia="宋体" w:cs="宋体"/>
          <w:bCs/>
          <w:color w:val="auto"/>
          <w:sz w:val="24"/>
          <w:szCs w:val="24"/>
          <w:highlight w:val="none"/>
          <w:lang w:val="zh-CN"/>
        </w:rPr>
      </w:pPr>
      <w:r>
        <w:rPr>
          <w:rFonts w:hint="eastAsia" w:ascii="宋体" w:hAnsi="宋体" w:eastAsia="宋体" w:cs="宋体"/>
          <w:color w:val="auto"/>
          <w:kern w:val="0"/>
          <w:sz w:val="24"/>
          <w:szCs w:val="24"/>
          <w:highlight w:val="none"/>
          <w:lang w:val="en-US" w:eastAsia="zh-CN"/>
        </w:rPr>
        <w:t>⑤第四年</w:t>
      </w:r>
      <w:r>
        <w:rPr>
          <w:rFonts w:hint="eastAsia" w:ascii="宋体" w:hAnsi="宋体" w:eastAsia="宋体" w:cs="宋体"/>
          <w:color w:val="auto"/>
          <w:kern w:val="0"/>
          <w:sz w:val="24"/>
          <w:szCs w:val="24"/>
          <w:highlight w:val="none"/>
        </w:rPr>
        <w:t>甲方向乙方支付合同剩余款项</w:t>
      </w:r>
      <w:r>
        <w:rPr>
          <w:rFonts w:hint="eastAsia" w:ascii="宋体" w:hAnsi="宋体" w:eastAsia="宋体" w:cs="宋体"/>
          <w:bCs/>
          <w:color w:val="auto"/>
          <w:sz w:val="24"/>
          <w:szCs w:val="24"/>
          <w:highlight w:val="none"/>
          <w:lang w:val="zh-CN"/>
        </w:rPr>
        <w:t>。</w:t>
      </w:r>
    </w:p>
    <w:p w14:paraId="32DE50C2">
      <w:pPr>
        <w:keepNext w:val="0"/>
        <w:keepLines w:val="0"/>
        <w:pageBreakBefore w:val="0"/>
        <w:kinsoku/>
        <w:wordWrap/>
        <w:overflowPunct/>
        <w:topLinePunct w:val="0"/>
        <w:autoSpaceDE w:val="0"/>
        <w:autoSpaceDN w:val="0"/>
        <w:bidi w:val="0"/>
        <w:adjustRightInd w:val="0"/>
        <w:snapToGrid/>
        <w:spacing w:line="480" w:lineRule="exact"/>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注：</w:t>
      </w:r>
      <w:r>
        <w:rPr>
          <w:rFonts w:hint="eastAsia" w:ascii="宋体" w:hAnsi="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lang w:val="en-US" w:eastAsia="zh-CN"/>
        </w:rPr>
        <w:t>（</w:t>
      </w:r>
      <w:r>
        <w:rPr>
          <w:rFonts w:hint="eastAsia" w:ascii="宋体" w:hAnsi="宋体" w:eastAsia="宋体" w:cs="宋体"/>
          <w:b/>
          <w:color w:val="auto"/>
          <w:sz w:val="24"/>
          <w:szCs w:val="24"/>
          <w:highlight w:val="none"/>
        </w:rPr>
        <w:t>1）</w:t>
      </w:r>
      <w:r>
        <w:rPr>
          <w:rFonts w:hint="eastAsia" w:ascii="宋体" w:hAnsi="宋体" w:eastAsia="宋体" w:cs="宋体"/>
          <w:b/>
          <w:color w:val="auto"/>
          <w:sz w:val="24"/>
          <w:szCs w:val="24"/>
          <w:highlight w:val="none"/>
          <w:lang w:eastAsia="ar-SA"/>
        </w:rPr>
        <w:t>项目的竣工结算由</w:t>
      </w:r>
      <w:r>
        <w:rPr>
          <w:rFonts w:hint="eastAsia" w:ascii="宋体" w:hAnsi="宋体" w:eastAsia="宋体" w:cs="宋体"/>
          <w:b/>
          <w:color w:val="auto"/>
          <w:sz w:val="24"/>
          <w:szCs w:val="24"/>
          <w:highlight w:val="none"/>
          <w:lang w:val="en-US" w:eastAsia="zh-CN"/>
        </w:rPr>
        <w:t>甲方</w:t>
      </w:r>
      <w:r>
        <w:rPr>
          <w:rFonts w:hint="eastAsia" w:ascii="宋体" w:hAnsi="宋体" w:eastAsia="宋体" w:cs="宋体"/>
          <w:b/>
          <w:color w:val="auto"/>
          <w:sz w:val="24"/>
          <w:szCs w:val="24"/>
          <w:highlight w:val="none"/>
          <w:lang w:eastAsia="ar-SA"/>
        </w:rPr>
        <w:t>委托有资质的中介机构审核，并以出具的结算审核结论作为最终结算的依据</w:t>
      </w:r>
      <w:r>
        <w:rPr>
          <w:rFonts w:hint="eastAsia" w:ascii="宋体" w:hAnsi="宋体" w:eastAsia="宋体" w:cs="宋体"/>
          <w:b/>
          <w:color w:val="auto"/>
          <w:sz w:val="24"/>
          <w:szCs w:val="24"/>
          <w:highlight w:val="none"/>
          <w:lang w:eastAsia="zh-CN"/>
        </w:rPr>
        <w:t>。</w:t>
      </w:r>
    </w:p>
    <w:p w14:paraId="6F4A00DB">
      <w:pPr>
        <w:keepNext w:val="0"/>
        <w:keepLines w:val="0"/>
        <w:pageBreakBefore w:val="0"/>
        <w:kinsoku/>
        <w:wordWrap/>
        <w:overflowPunct/>
        <w:topLinePunct w:val="0"/>
        <w:autoSpaceDE w:val="0"/>
        <w:autoSpaceDN w:val="0"/>
        <w:bidi w:val="0"/>
        <w:adjustRightInd w:val="0"/>
        <w:snapToGrid/>
        <w:spacing w:line="480" w:lineRule="exact"/>
        <w:ind w:firstLine="723" w:firstLineChars="3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lang w:val="en-US" w:eastAsia="zh-CN"/>
        </w:rPr>
        <w:t>2</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签订合同时，乙方明确表示无需预付款或者主动要求降低预付款比例的，甲方可不适用上述</w:t>
      </w:r>
      <w:r>
        <w:rPr>
          <w:rFonts w:hint="eastAsia" w:ascii="宋体" w:hAnsi="宋体" w:eastAsia="宋体" w:cs="宋体"/>
          <w:b/>
          <w:color w:val="auto"/>
          <w:sz w:val="24"/>
          <w:szCs w:val="24"/>
          <w:highlight w:val="none"/>
          <w:lang w:val="en-US" w:eastAsia="zh-CN"/>
        </w:rPr>
        <w:t>付款方式</w:t>
      </w:r>
      <w:r>
        <w:rPr>
          <w:rFonts w:hint="eastAsia" w:ascii="宋体" w:hAnsi="宋体" w:eastAsia="宋体" w:cs="宋体"/>
          <w:b/>
          <w:color w:val="auto"/>
          <w:sz w:val="24"/>
          <w:szCs w:val="24"/>
          <w:highlight w:val="none"/>
        </w:rPr>
        <w:t>①规定。</w:t>
      </w:r>
    </w:p>
    <w:p w14:paraId="28800B1E">
      <w:pPr>
        <w:keepNext w:val="0"/>
        <w:keepLines w:val="0"/>
        <w:pageBreakBefore w:val="0"/>
        <w:kinsoku/>
        <w:wordWrap/>
        <w:overflowPunct/>
        <w:topLinePunct w:val="0"/>
        <w:autoSpaceDE w:val="0"/>
        <w:autoSpaceDN w:val="0"/>
        <w:bidi w:val="0"/>
        <w:adjustRightInd w:val="0"/>
        <w:snapToGrid/>
        <w:spacing w:line="480" w:lineRule="exact"/>
        <w:ind w:firstLine="723" w:firstLineChars="3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3</w:t>
      </w:r>
      <w:r>
        <w:rPr>
          <w:rFonts w:hint="eastAsia" w:ascii="宋体" w:hAnsi="宋体" w:eastAsia="宋体" w:cs="宋体"/>
          <w:b/>
          <w:color w:val="auto"/>
          <w:sz w:val="24"/>
          <w:szCs w:val="24"/>
          <w:highlight w:val="none"/>
        </w:rPr>
        <w:t>）以上每次付款前，乙方均应提供符合甲方要求的同等金额的合法有效发票。否则，甲方有权顺延付款时间，且不承担任何违约或赔偿责任。</w:t>
      </w:r>
    </w:p>
    <w:p w14:paraId="34DE9B2B">
      <w:pPr>
        <w:keepNext w:val="0"/>
        <w:keepLines w:val="0"/>
        <w:pageBreakBefore w:val="0"/>
        <w:kinsoku/>
        <w:wordWrap/>
        <w:overflowPunct/>
        <w:topLinePunct w:val="0"/>
        <w:autoSpaceDE w:val="0"/>
        <w:autoSpaceDN w:val="0"/>
        <w:bidi w:val="0"/>
        <w:adjustRightInd w:val="0"/>
        <w:snapToGrid/>
        <w:spacing w:line="480" w:lineRule="exact"/>
        <w:ind w:firstLine="723" w:firstLineChars="3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4</w:t>
      </w:r>
      <w:r>
        <w:rPr>
          <w:rFonts w:hint="eastAsia" w:ascii="宋体" w:hAnsi="宋体" w:eastAsia="宋体" w:cs="宋体"/>
          <w:b/>
          <w:color w:val="auto"/>
          <w:sz w:val="24"/>
          <w:szCs w:val="24"/>
          <w:highlight w:val="none"/>
        </w:rPr>
        <w:t>）本项目支付方式支持数字人民币方式。</w:t>
      </w:r>
    </w:p>
    <w:p w14:paraId="5585A1AC">
      <w:pPr>
        <w:keepNext w:val="0"/>
        <w:keepLines w:val="0"/>
        <w:pageBreakBefore w:val="0"/>
        <w:kinsoku/>
        <w:wordWrap/>
        <w:overflowPunct/>
        <w:topLinePunct w:val="0"/>
        <w:autoSpaceDE w:val="0"/>
        <w:autoSpaceDN w:val="0"/>
        <w:bidi w:val="0"/>
        <w:adjustRightInd w:val="0"/>
        <w:snapToGrid/>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w:t>
      </w:r>
      <w:r>
        <w:rPr>
          <w:rFonts w:hint="eastAsia" w:ascii="宋体" w:hAnsi="宋体" w:eastAsia="宋体" w:cs="宋体"/>
          <w:color w:val="auto"/>
          <w:sz w:val="24"/>
          <w:szCs w:val="24"/>
          <w:highlight w:val="none"/>
          <w:lang w:val="en-US" w:eastAsia="zh-CN"/>
        </w:rPr>
        <w:t>4</w:t>
      </w: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发票开具方式：</w:t>
      </w:r>
      <w:r>
        <w:rPr>
          <w:rFonts w:hint="eastAsia" w:ascii="宋体" w:hAnsi="宋体" w:eastAsia="宋体" w:cs="宋体"/>
          <w:b/>
          <w:bCs/>
          <w:color w:val="auto"/>
          <w:sz w:val="24"/>
          <w:szCs w:val="24"/>
          <w:highlight w:val="none"/>
          <w:u w:val="single"/>
        </w:rPr>
        <w:t>增值税专用发票或增值税普通发票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336EE45">
      <w:pPr>
        <w:keepNext w:val="0"/>
        <w:keepLines w:val="0"/>
        <w:pageBreakBefore w:val="0"/>
        <w:kinsoku/>
        <w:wordWrap/>
        <w:overflowPunct/>
        <w:topLinePunct w:val="0"/>
        <w:bidi w:val="0"/>
        <w:snapToGrid/>
        <w:spacing w:line="480" w:lineRule="exac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1.5 服务期限和地点</w:t>
      </w:r>
    </w:p>
    <w:p w14:paraId="42A4E96F">
      <w:pPr>
        <w:keepNext w:val="0"/>
        <w:keepLines w:val="0"/>
        <w:pageBreakBefore w:val="0"/>
        <w:kinsoku/>
        <w:wordWrap/>
        <w:overflowPunct/>
        <w:topLinePunct w:val="0"/>
        <w:bidi w:val="0"/>
        <w:snapToGrid/>
        <w:spacing w:line="480" w:lineRule="exact"/>
        <w:ind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1.5.1 服务期限：</w:t>
      </w:r>
      <w:r>
        <w:rPr>
          <w:rFonts w:hint="eastAsia" w:ascii="宋体" w:hAnsi="宋体" w:eastAsia="宋体" w:cs="宋体"/>
          <w:color w:val="auto"/>
          <w:sz w:val="24"/>
          <w:szCs w:val="24"/>
          <w:highlight w:val="none"/>
          <w:u w:val="single"/>
        </w:rPr>
        <w:t>自合同签订之日起一年。</w:t>
      </w:r>
    </w:p>
    <w:p w14:paraId="379B19FE">
      <w:pPr>
        <w:keepNext w:val="0"/>
        <w:keepLines w:val="0"/>
        <w:pageBreakBefore w:val="0"/>
        <w:kinsoku/>
        <w:wordWrap/>
        <w:overflowPunct/>
        <w:topLinePunct w:val="0"/>
        <w:bidi w:val="0"/>
        <w:snapToGrid/>
        <w:spacing w:line="480" w:lineRule="exact"/>
        <w:ind w:firstLine="480" w:firstLineChars="200"/>
        <w:textAlignment w:val="auto"/>
        <w:rPr>
          <w:rFonts w:hint="eastAsia" w:ascii="宋体" w:hAnsi="宋体" w:eastAsia="宋体" w:cs="宋体"/>
          <w:bCs/>
          <w:color w:val="auto"/>
          <w:kern w:val="0"/>
          <w:sz w:val="24"/>
          <w:szCs w:val="24"/>
          <w:highlight w:val="none"/>
          <w:u w:val="single"/>
        </w:rPr>
      </w:pPr>
      <w:r>
        <w:rPr>
          <w:rFonts w:hint="eastAsia" w:ascii="宋体" w:hAnsi="宋体" w:eastAsia="宋体" w:cs="宋体"/>
          <w:color w:val="auto"/>
          <w:sz w:val="24"/>
          <w:szCs w:val="24"/>
          <w:highlight w:val="none"/>
        </w:rPr>
        <w:t xml:space="preserve">1.5.2 </w:t>
      </w:r>
      <w:r>
        <w:rPr>
          <w:rFonts w:hint="eastAsia" w:ascii="宋体" w:hAnsi="宋体" w:eastAsia="宋体" w:cs="宋体"/>
          <w:bCs/>
          <w:color w:val="auto"/>
          <w:kern w:val="0"/>
          <w:sz w:val="24"/>
          <w:szCs w:val="24"/>
          <w:highlight w:val="none"/>
        </w:rPr>
        <w:t>服务地点：</w:t>
      </w:r>
      <w:r>
        <w:rPr>
          <w:rFonts w:hint="eastAsia" w:ascii="宋体" w:hAnsi="宋体" w:eastAsia="宋体" w:cs="宋体"/>
          <w:bCs/>
          <w:color w:val="auto"/>
          <w:kern w:val="0"/>
          <w:sz w:val="24"/>
          <w:szCs w:val="24"/>
          <w:highlight w:val="none"/>
          <w:u w:val="single"/>
        </w:rPr>
        <w:t>常熟市</w:t>
      </w:r>
      <w:r>
        <w:rPr>
          <w:rFonts w:hint="eastAsia" w:ascii="宋体" w:hAnsi="宋体" w:eastAsia="宋体" w:cs="宋体"/>
          <w:bCs/>
          <w:color w:val="auto"/>
          <w:kern w:val="0"/>
          <w:sz w:val="24"/>
          <w:szCs w:val="24"/>
          <w:highlight w:val="none"/>
          <w:u w:val="single"/>
          <w:lang w:val="en-US" w:eastAsia="zh-CN"/>
        </w:rPr>
        <w:t>古里镇</w:t>
      </w:r>
      <w:r>
        <w:rPr>
          <w:rFonts w:hint="eastAsia" w:ascii="宋体" w:hAnsi="宋体" w:eastAsia="宋体" w:cs="宋体"/>
          <w:bCs/>
          <w:color w:val="auto"/>
          <w:kern w:val="0"/>
          <w:sz w:val="24"/>
          <w:szCs w:val="24"/>
          <w:highlight w:val="none"/>
          <w:u w:val="single"/>
        </w:rPr>
        <w:t>。</w:t>
      </w:r>
      <w:bookmarkStart w:id="127" w:name="_Toc5698"/>
      <w:bookmarkStart w:id="128" w:name="_Toc8586"/>
      <w:bookmarkStart w:id="129" w:name="_Toc24662"/>
      <w:bookmarkStart w:id="130" w:name="_Toc2375"/>
      <w:bookmarkStart w:id="131" w:name="_Toc3079"/>
    </w:p>
    <w:p w14:paraId="765A6FF2">
      <w:pPr>
        <w:keepNext w:val="0"/>
        <w:keepLines w:val="0"/>
        <w:pageBreakBefore w:val="0"/>
        <w:kinsoku/>
        <w:wordWrap/>
        <w:overflowPunct/>
        <w:topLinePunct w:val="0"/>
        <w:bidi w:val="0"/>
        <w:snapToGrid/>
        <w:spacing w:line="480" w:lineRule="exact"/>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1.6 </w:t>
      </w:r>
      <w:r>
        <w:rPr>
          <w:rFonts w:hint="eastAsia" w:ascii="宋体" w:hAnsi="宋体" w:eastAsia="宋体" w:cs="宋体"/>
          <w:b/>
          <w:color w:val="auto"/>
          <w:sz w:val="24"/>
          <w:szCs w:val="24"/>
          <w:highlight w:val="none"/>
          <w:lang w:val="en-US" w:eastAsia="zh-CN"/>
        </w:rPr>
        <w:t>验收办法</w:t>
      </w:r>
    </w:p>
    <w:p w14:paraId="45E9AE4F">
      <w:pPr>
        <w:keepNext w:val="0"/>
        <w:keepLines w:val="0"/>
        <w:pageBreakBefore w:val="0"/>
        <w:kinsoku/>
        <w:wordWrap/>
        <w:overflowPunct/>
        <w:topLinePunct w:val="0"/>
        <w:bidi w:val="0"/>
        <w:snapToGrid/>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1.6.1</w:t>
      </w:r>
      <w:r>
        <w:rPr>
          <w:rFonts w:hint="eastAsia" w:ascii="宋体" w:hAnsi="宋体" w:eastAsia="宋体" w:cs="宋体"/>
          <w:color w:val="auto"/>
          <w:sz w:val="24"/>
          <w:szCs w:val="24"/>
          <w:highlight w:val="none"/>
        </w:rPr>
        <w:t>甲方依法组织履约验收工作。</w:t>
      </w:r>
    </w:p>
    <w:p w14:paraId="2A611EA2">
      <w:pPr>
        <w:keepNext w:val="0"/>
        <w:keepLines w:val="0"/>
        <w:pageBreakBefore w:val="0"/>
        <w:kinsoku/>
        <w:wordWrap/>
        <w:overflowPunct/>
        <w:topLinePunct w:val="0"/>
        <w:bidi w:val="0"/>
        <w:snapToGrid/>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1.6.2</w:t>
      </w:r>
      <w:r>
        <w:rPr>
          <w:rFonts w:hint="eastAsia" w:ascii="宋体" w:hAnsi="宋体" w:eastAsia="宋体" w:cs="宋体"/>
          <w:color w:val="auto"/>
          <w:sz w:val="24"/>
          <w:szCs w:val="24"/>
          <w:highlight w:val="none"/>
        </w:rPr>
        <w:t>甲方按照确定的验收方案（包括履约验收的时间、方式、程序等内容），服务效果进行验收。乙方应根据验收方案内容做好相应配合工作。</w:t>
      </w:r>
    </w:p>
    <w:p w14:paraId="55ED7251">
      <w:pPr>
        <w:keepNext w:val="0"/>
        <w:keepLines w:val="0"/>
        <w:pageBreakBefore w:val="0"/>
        <w:kinsoku/>
        <w:wordWrap/>
        <w:overflowPunct/>
        <w:topLinePunct w:val="0"/>
        <w:bidi w:val="0"/>
        <w:snapToGrid/>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1.6.3</w:t>
      </w:r>
      <w:r>
        <w:rPr>
          <w:rFonts w:hint="eastAsia" w:ascii="宋体" w:hAnsi="宋体" w:cs="宋体"/>
          <w:color w:val="auto"/>
          <w:sz w:val="24"/>
          <w:szCs w:val="24"/>
          <w:highlight w:val="none"/>
          <w:lang w:val="en-US" w:eastAsia="zh-CN"/>
        </w:rPr>
        <w:t>如有</w:t>
      </w:r>
      <w:r>
        <w:rPr>
          <w:rFonts w:hint="eastAsia" w:ascii="宋体" w:hAnsi="宋体" w:eastAsia="宋体" w:cs="宋体"/>
          <w:color w:val="auto"/>
          <w:sz w:val="24"/>
          <w:szCs w:val="24"/>
          <w:highlight w:val="none"/>
        </w:rPr>
        <w:t>实际使用人和甲方分离的项目，甲方邀请实际使用人参与验收。</w:t>
      </w:r>
    </w:p>
    <w:p w14:paraId="3AFDC12B">
      <w:pPr>
        <w:keepNext w:val="0"/>
        <w:keepLines w:val="0"/>
        <w:pageBreakBefore w:val="0"/>
        <w:kinsoku/>
        <w:wordWrap/>
        <w:overflowPunct/>
        <w:topLinePunct w:val="0"/>
        <w:bidi w:val="0"/>
        <w:snapToGrid/>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1.6.4</w:t>
      </w:r>
      <w:r>
        <w:rPr>
          <w:rFonts w:hint="eastAsia" w:ascii="宋体" w:hAnsi="宋体" w:cs="宋体"/>
          <w:bCs/>
          <w:color w:val="000000" w:themeColor="text1"/>
          <w:sz w:val="24"/>
          <w:szCs w:val="24"/>
          <w:highlight w:val="none"/>
          <w14:textFill>
            <w14:solidFill>
              <w14:schemeClr w14:val="tx1"/>
            </w14:solidFill>
          </w14:textFill>
        </w:rPr>
        <w:t>如有必要，</w:t>
      </w:r>
      <w:r>
        <w:rPr>
          <w:rFonts w:hint="eastAsia" w:ascii="宋体" w:hAnsi="宋体" w:cs="宋体"/>
          <w:bCs/>
          <w:color w:val="000000" w:themeColor="text1"/>
          <w:sz w:val="24"/>
          <w:szCs w:val="24"/>
          <w:highlight w:val="none"/>
          <w:lang w:val="en-US" w:eastAsia="zh-CN"/>
          <w14:textFill>
            <w14:solidFill>
              <w14:schemeClr w14:val="tx1"/>
            </w14:solidFill>
          </w14:textFill>
        </w:rPr>
        <w:t>甲方可以</w:t>
      </w:r>
      <w:r>
        <w:rPr>
          <w:rFonts w:hint="eastAsia" w:ascii="宋体" w:hAnsi="宋体" w:cs="宋体"/>
          <w:bCs/>
          <w:color w:val="000000" w:themeColor="text1"/>
          <w:sz w:val="24"/>
          <w:szCs w:val="24"/>
          <w:highlight w:val="none"/>
          <w14:textFill>
            <w14:solidFill>
              <w14:schemeClr w14:val="tx1"/>
            </w14:solidFill>
          </w14:textFill>
        </w:rPr>
        <w:t>邀请参加本项目的其他投标人或第三方专业机构及专家参与验收，相关意见将作为验收书的参考资料</w:t>
      </w:r>
      <w:r>
        <w:rPr>
          <w:rFonts w:hint="eastAsia" w:ascii="宋体" w:hAnsi="宋体" w:eastAsia="宋体" w:cs="宋体"/>
          <w:color w:val="auto"/>
          <w:sz w:val="24"/>
          <w:szCs w:val="24"/>
          <w:highlight w:val="none"/>
        </w:rPr>
        <w:t>。</w:t>
      </w:r>
    </w:p>
    <w:p w14:paraId="0B54279A">
      <w:pPr>
        <w:keepNext w:val="0"/>
        <w:keepLines w:val="0"/>
        <w:pageBreakBefore w:val="0"/>
        <w:kinsoku/>
        <w:wordWrap/>
        <w:overflowPunct/>
        <w:topLinePunct w:val="0"/>
        <w:bidi w:val="0"/>
        <w:snapToGrid/>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1.6.5</w:t>
      </w:r>
      <w:r>
        <w:rPr>
          <w:rFonts w:hint="eastAsia" w:ascii="宋体" w:hAnsi="宋体" w:eastAsia="宋体" w:cs="宋体"/>
          <w:color w:val="auto"/>
          <w:sz w:val="24"/>
          <w:szCs w:val="24"/>
          <w:highlight w:val="none"/>
        </w:rPr>
        <w:t>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如有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返还条件挂钩。履约验收的各项资料存档备查。</w:t>
      </w:r>
    </w:p>
    <w:p w14:paraId="1422079C">
      <w:pPr>
        <w:keepNext w:val="0"/>
        <w:keepLines w:val="0"/>
        <w:pageBreakBefore w:val="0"/>
        <w:kinsoku/>
        <w:wordWrap/>
        <w:overflowPunct/>
        <w:topLinePunct w:val="0"/>
        <w:bidi w:val="0"/>
        <w:snapToGrid/>
        <w:spacing w:line="48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1.6.6</w:t>
      </w:r>
      <w:r>
        <w:rPr>
          <w:rFonts w:hint="eastAsia" w:ascii="宋体" w:hAnsi="宋体" w:eastAsia="宋体" w:cs="宋体"/>
          <w:color w:val="auto"/>
          <w:sz w:val="24"/>
          <w:szCs w:val="24"/>
          <w:highlight w:val="none"/>
        </w:rPr>
        <w:t>验收合格的项目,甲方根据采购合同的约定及时向乙方支付合同款项、退还履约保证金（如有）。验收不合格的项目，甲方依法及时处理</w:t>
      </w:r>
      <w:r>
        <w:rPr>
          <w:rFonts w:hint="eastAsia" w:ascii="宋体" w:hAnsi="宋体" w:cs="宋体"/>
          <w:color w:val="auto"/>
          <w:sz w:val="24"/>
          <w:szCs w:val="24"/>
          <w:highlight w:val="none"/>
          <w:lang w:eastAsia="zh-CN"/>
        </w:rPr>
        <w:t>。</w:t>
      </w:r>
    </w:p>
    <w:p w14:paraId="40838B67">
      <w:pPr>
        <w:keepNext w:val="0"/>
        <w:keepLines w:val="0"/>
        <w:pageBreakBefore w:val="0"/>
        <w:kinsoku/>
        <w:wordWrap/>
        <w:overflowPunct/>
        <w:topLinePunct w:val="0"/>
        <w:bidi w:val="0"/>
        <w:snapToGrid/>
        <w:spacing w:line="480" w:lineRule="exac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w:t>
      </w:r>
      <w:r>
        <w:rPr>
          <w:rFonts w:hint="eastAsia" w:ascii="宋体" w:hAnsi="宋体" w:eastAsia="宋体" w:cs="宋体"/>
          <w:b/>
          <w:color w:val="auto"/>
          <w:sz w:val="24"/>
          <w:szCs w:val="24"/>
          <w:highlight w:val="none"/>
          <w:lang w:val="en-US" w:eastAsia="zh-CN"/>
        </w:rPr>
        <w:t>7</w:t>
      </w:r>
      <w:r>
        <w:rPr>
          <w:rFonts w:hint="eastAsia" w:ascii="宋体" w:hAnsi="宋体" w:eastAsia="宋体" w:cs="宋体"/>
          <w:b/>
          <w:color w:val="auto"/>
          <w:sz w:val="24"/>
          <w:szCs w:val="24"/>
          <w:highlight w:val="none"/>
        </w:rPr>
        <w:t xml:space="preserve"> 双方权利义务</w:t>
      </w:r>
    </w:p>
    <w:p w14:paraId="0E66F54A">
      <w:pPr>
        <w:keepNext w:val="0"/>
        <w:keepLines w:val="0"/>
        <w:pageBreakBefore w:val="0"/>
        <w:kinsoku/>
        <w:wordWrap/>
        <w:overflowPunct/>
        <w:topLinePunct w:val="0"/>
        <w:bidi w:val="0"/>
        <w:snapToGrid/>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.1甲方权利义务</w:t>
      </w:r>
    </w:p>
    <w:p w14:paraId="31EB19C0">
      <w:pPr>
        <w:keepNext w:val="0"/>
        <w:keepLines w:val="0"/>
        <w:pageBreakBefore w:val="0"/>
        <w:tabs>
          <w:tab w:val="left" w:pos="0"/>
        </w:tabs>
        <w:kinsoku/>
        <w:wordWrap/>
        <w:overflowPunct/>
        <w:topLinePunct w:val="0"/>
        <w:bidi w:val="0"/>
        <w:snapToGrid/>
        <w:spacing w:line="480" w:lineRule="exact"/>
        <w:ind w:right="-27" w:firstLine="789"/>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1.7.1.1</w:t>
      </w:r>
      <w:r>
        <w:rPr>
          <w:rFonts w:hint="eastAsia" w:ascii="宋体" w:hAnsi="宋体" w:eastAsia="宋体" w:cs="宋体"/>
          <w:bCs/>
          <w:color w:val="000000" w:themeColor="text1"/>
          <w:sz w:val="24"/>
          <w:szCs w:val="24"/>
          <w:highlight w:val="none"/>
          <w14:textFill>
            <w14:solidFill>
              <w14:schemeClr w14:val="tx1"/>
            </w14:solidFill>
          </w14:textFill>
        </w:rPr>
        <w:t>甲方有权随时向乙方了解服务进展，提出改进意见和建议；甲方有权根据实际履约质量和进度情况要求乙方按照本合同约定加强管理直至提供符合约定的服务。</w:t>
      </w:r>
    </w:p>
    <w:p w14:paraId="4DB5D64F">
      <w:pPr>
        <w:keepNext w:val="0"/>
        <w:keepLines w:val="0"/>
        <w:pageBreakBefore w:val="0"/>
        <w:tabs>
          <w:tab w:val="left" w:pos="0"/>
        </w:tabs>
        <w:kinsoku/>
        <w:wordWrap/>
        <w:overflowPunct/>
        <w:topLinePunct w:val="0"/>
        <w:bidi w:val="0"/>
        <w:snapToGrid/>
        <w:spacing w:line="480" w:lineRule="exact"/>
        <w:ind w:right="-27" w:firstLine="789"/>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1.7.1.2</w:t>
      </w:r>
      <w:r>
        <w:rPr>
          <w:rFonts w:hint="eastAsia" w:ascii="宋体" w:hAnsi="宋体" w:eastAsia="宋体" w:cs="宋体"/>
          <w:bCs/>
          <w:color w:val="000000" w:themeColor="text1"/>
          <w:sz w:val="24"/>
          <w:szCs w:val="24"/>
          <w:highlight w:val="none"/>
          <w14:textFill>
            <w14:solidFill>
              <w14:schemeClr w14:val="tx1"/>
            </w14:solidFill>
          </w14:textFill>
        </w:rPr>
        <w:t>甲方应按时支付合同价款；为乙方履行合同提供必要的便利条件；本合同约定的其他义务。</w:t>
      </w:r>
    </w:p>
    <w:p w14:paraId="1733675B">
      <w:pPr>
        <w:keepNext w:val="0"/>
        <w:keepLines w:val="0"/>
        <w:pageBreakBefore w:val="0"/>
        <w:kinsoku/>
        <w:wordWrap/>
        <w:overflowPunct/>
        <w:topLinePunct w:val="0"/>
        <w:bidi w:val="0"/>
        <w:snapToGrid/>
        <w:spacing w:line="480" w:lineRule="exact"/>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1.7.2</w:t>
      </w:r>
      <w:r>
        <w:rPr>
          <w:rFonts w:hint="eastAsia" w:ascii="宋体" w:hAnsi="宋体" w:eastAsia="宋体" w:cs="宋体"/>
          <w:color w:val="auto"/>
          <w:sz w:val="24"/>
          <w:szCs w:val="24"/>
          <w:highlight w:val="none"/>
        </w:rPr>
        <w:t>乙方权利</w:t>
      </w:r>
      <w:r>
        <w:rPr>
          <w:rFonts w:hint="eastAsia" w:ascii="宋体" w:hAnsi="宋体" w:eastAsia="宋体" w:cs="宋体"/>
          <w:color w:val="auto"/>
          <w:sz w:val="24"/>
          <w:szCs w:val="24"/>
          <w:highlight w:val="none"/>
          <w:lang w:val="en-US" w:eastAsia="zh-CN"/>
        </w:rPr>
        <w:t>义务</w:t>
      </w:r>
    </w:p>
    <w:p w14:paraId="23966158">
      <w:pPr>
        <w:keepNext w:val="0"/>
        <w:keepLines w:val="0"/>
        <w:pageBreakBefore w:val="0"/>
        <w:tabs>
          <w:tab w:val="left" w:pos="0"/>
        </w:tabs>
        <w:kinsoku/>
        <w:wordWrap/>
        <w:overflowPunct/>
        <w:topLinePunct w:val="0"/>
        <w:bidi w:val="0"/>
        <w:snapToGrid/>
        <w:spacing w:line="480" w:lineRule="exact"/>
        <w:ind w:right="-27" w:firstLine="789"/>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1.7.2.1</w:t>
      </w:r>
      <w:r>
        <w:rPr>
          <w:rFonts w:hint="eastAsia" w:ascii="宋体" w:hAnsi="宋体" w:eastAsia="宋体" w:cs="宋体"/>
          <w:bCs/>
          <w:color w:val="000000" w:themeColor="text1"/>
          <w:sz w:val="24"/>
          <w:szCs w:val="24"/>
          <w:highlight w:val="none"/>
          <w14:textFill>
            <w14:solidFill>
              <w14:schemeClr w14:val="tx1"/>
            </w14:solidFill>
          </w14:textFill>
        </w:rPr>
        <w:t>乙方有权按照合同获得合同价款；乙方有权根据服务内容的需要，请求甲方予以配合。</w:t>
      </w:r>
    </w:p>
    <w:p w14:paraId="499A693C">
      <w:pPr>
        <w:keepNext w:val="0"/>
        <w:keepLines w:val="0"/>
        <w:pageBreakBefore w:val="0"/>
        <w:tabs>
          <w:tab w:val="left" w:pos="0"/>
        </w:tabs>
        <w:kinsoku/>
        <w:wordWrap/>
        <w:overflowPunct/>
        <w:topLinePunct w:val="0"/>
        <w:bidi w:val="0"/>
        <w:snapToGrid/>
        <w:spacing w:line="480" w:lineRule="exact"/>
        <w:ind w:right="-27" w:firstLine="789"/>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1.7.2.2</w:t>
      </w:r>
      <w:r>
        <w:rPr>
          <w:rFonts w:hint="eastAsia" w:ascii="宋体" w:hAnsi="宋体" w:eastAsia="宋体" w:cs="宋体"/>
          <w:bCs/>
          <w:color w:val="000000" w:themeColor="text1"/>
          <w:sz w:val="24"/>
          <w:szCs w:val="24"/>
          <w:highlight w:val="none"/>
          <w14:textFill>
            <w14:solidFill>
              <w14:schemeClr w14:val="tx1"/>
            </w14:solidFill>
          </w14:textFill>
        </w:rPr>
        <w:t>除其他有关条款的约定外，乙方义务还包括：</w:t>
      </w:r>
    </w:p>
    <w:p w14:paraId="2460DA98">
      <w:pPr>
        <w:keepNext w:val="0"/>
        <w:keepLines w:val="0"/>
        <w:pageBreakBefore w:val="0"/>
        <w:tabs>
          <w:tab w:val="left" w:pos="0"/>
        </w:tabs>
        <w:kinsoku/>
        <w:wordWrap/>
        <w:overflowPunct/>
        <w:topLinePunct w:val="0"/>
        <w:bidi w:val="0"/>
        <w:snapToGrid/>
        <w:spacing w:line="480" w:lineRule="exact"/>
        <w:ind w:right="-27" w:firstLine="789"/>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fldChar w:fldCharType="begin"/>
      </w:r>
      <w:r>
        <w:rPr>
          <w:rFonts w:hint="eastAsia" w:ascii="宋体" w:hAnsi="宋体" w:eastAsia="宋体" w:cs="宋体"/>
          <w:bCs/>
          <w:color w:val="000000" w:themeColor="text1"/>
          <w:sz w:val="24"/>
          <w:szCs w:val="24"/>
          <w:highlight w:val="none"/>
          <w14:textFill>
            <w14:solidFill>
              <w14:schemeClr w14:val="tx1"/>
            </w14:solidFill>
          </w14:textFill>
        </w:rPr>
        <w:instrText xml:space="preserve"> = 1 \* GB3 </w:instrText>
      </w:r>
      <w:r>
        <w:rPr>
          <w:rFonts w:hint="eastAsia" w:ascii="宋体" w:hAnsi="宋体" w:eastAsia="宋体" w:cs="宋体"/>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Cs/>
          <w:color w:val="000000" w:themeColor="text1"/>
          <w:sz w:val="24"/>
          <w:szCs w:val="24"/>
          <w:highlight w:val="none"/>
          <w14:textFill>
            <w14:solidFill>
              <w14:schemeClr w14:val="tx1"/>
            </w14:solidFill>
          </w14:textFill>
        </w:rPr>
        <w:t>①</w:t>
      </w:r>
      <w:r>
        <w:rPr>
          <w:rFonts w:hint="eastAsia" w:ascii="宋体" w:hAnsi="宋体" w:eastAsia="宋体" w:cs="宋体"/>
          <w:bCs/>
          <w:color w:val="000000" w:themeColor="text1"/>
          <w:sz w:val="24"/>
          <w:szCs w:val="24"/>
          <w:highlight w:val="none"/>
          <w14:textFill>
            <w14:solidFill>
              <w14:schemeClr w14:val="tx1"/>
            </w14:solidFill>
          </w14:textFill>
        </w:rPr>
        <w:fldChar w:fldCharType="end"/>
      </w:r>
      <w:r>
        <w:rPr>
          <w:rFonts w:hint="eastAsia" w:ascii="宋体" w:hAnsi="宋体" w:eastAsia="宋体" w:cs="宋体"/>
          <w:bCs/>
          <w:color w:val="000000" w:themeColor="text1"/>
          <w:sz w:val="24"/>
          <w:szCs w:val="24"/>
          <w:highlight w:val="none"/>
          <w14:textFill>
            <w14:solidFill>
              <w14:schemeClr w14:val="tx1"/>
            </w14:solidFill>
          </w14:textFill>
        </w:rPr>
        <w:t>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的，视为乙方丧失提供服务的能力。</w:t>
      </w:r>
    </w:p>
    <w:p w14:paraId="3A59C123">
      <w:pPr>
        <w:keepNext w:val="0"/>
        <w:keepLines w:val="0"/>
        <w:pageBreakBefore w:val="0"/>
        <w:tabs>
          <w:tab w:val="left" w:pos="0"/>
        </w:tabs>
        <w:kinsoku/>
        <w:wordWrap/>
        <w:overflowPunct/>
        <w:topLinePunct w:val="0"/>
        <w:bidi w:val="0"/>
        <w:snapToGrid/>
        <w:spacing w:line="480" w:lineRule="exact"/>
        <w:ind w:right="-27" w:firstLine="789"/>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fldChar w:fldCharType="begin"/>
      </w:r>
      <w:r>
        <w:rPr>
          <w:rFonts w:hint="eastAsia" w:ascii="宋体" w:hAnsi="宋体" w:eastAsia="宋体" w:cs="宋体"/>
          <w:bCs/>
          <w:color w:val="000000" w:themeColor="text1"/>
          <w:sz w:val="24"/>
          <w:szCs w:val="24"/>
          <w:highlight w:val="none"/>
          <w14:textFill>
            <w14:solidFill>
              <w14:schemeClr w14:val="tx1"/>
            </w14:solidFill>
          </w14:textFill>
        </w:rPr>
        <w:instrText xml:space="preserve"> = 2 \* GB3 </w:instrText>
      </w:r>
      <w:r>
        <w:rPr>
          <w:rFonts w:hint="eastAsia" w:ascii="宋体" w:hAnsi="宋体" w:eastAsia="宋体" w:cs="宋体"/>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Cs/>
          <w:color w:val="000000" w:themeColor="text1"/>
          <w:sz w:val="24"/>
          <w:szCs w:val="24"/>
          <w:highlight w:val="none"/>
          <w14:textFill>
            <w14:solidFill>
              <w14:schemeClr w14:val="tx1"/>
            </w14:solidFill>
          </w14:textFill>
        </w:rPr>
        <w:t>②</w:t>
      </w:r>
      <w:r>
        <w:rPr>
          <w:rFonts w:hint="eastAsia" w:ascii="宋体" w:hAnsi="宋体" w:eastAsia="宋体" w:cs="宋体"/>
          <w:bCs/>
          <w:color w:val="000000" w:themeColor="text1"/>
          <w:sz w:val="24"/>
          <w:szCs w:val="24"/>
          <w:highlight w:val="none"/>
          <w14:textFill>
            <w14:solidFill>
              <w14:schemeClr w14:val="tx1"/>
            </w14:solidFill>
          </w14:textFill>
        </w:rPr>
        <w:fldChar w:fldCharType="end"/>
      </w:r>
      <w:r>
        <w:rPr>
          <w:rFonts w:hint="eastAsia" w:ascii="宋体" w:hAnsi="宋体" w:eastAsia="宋体" w:cs="宋体"/>
          <w:bCs/>
          <w:color w:val="000000" w:themeColor="text1"/>
          <w:sz w:val="24"/>
          <w:szCs w:val="24"/>
          <w:highlight w:val="none"/>
          <w14:textFill>
            <w14:solidFill>
              <w14:schemeClr w14:val="tx1"/>
            </w14:solidFill>
          </w14:textFill>
        </w:rPr>
        <w:t>乙方应安排身体健康、品性良好的服务人员为甲方提供服务。</w:t>
      </w:r>
    </w:p>
    <w:p w14:paraId="289FB5FF">
      <w:pPr>
        <w:keepNext w:val="0"/>
        <w:keepLines w:val="0"/>
        <w:pageBreakBefore w:val="0"/>
        <w:tabs>
          <w:tab w:val="left" w:pos="0"/>
        </w:tabs>
        <w:kinsoku/>
        <w:wordWrap/>
        <w:overflowPunct/>
        <w:topLinePunct w:val="0"/>
        <w:bidi w:val="0"/>
        <w:snapToGrid/>
        <w:spacing w:line="480" w:lineRule="exact"/>
        <w:ind w:right="-27" w:firstLine="789"/>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fldChar w:fldCharType="begin"/>
      </w:r>
      <w:r>
        <w:rPr>
          <w:rFonts w:hint="eastAsia" w:ascii="宋体" w:hAnsi="宋体" w:eastAsia="宋体" w:cs="宋体"/>
          <w:bCs/>
          <w:color w:val="000000" w:themeColor="text1"/>
          <w:sz w:val="24"/>
          <w:szCs w:val="24"/>
          <w:highlight w:val="none"/>
          <w14:textFill>
            <w14:solidFill>
              <w14:schemeClr w14:val="tx1"/>
            </w14:solidFill>
          </w14:textFill>
        </w:rPr>
        <w:instrText xml:space="preserve"> = 3 \* GB3 </w:instrText>
      </w:r>
      <w:r>
        <w:rPr>
          <w:rFonts w:hint="eastAsia" w:ascii="宋体" w:hAnsi="宋体" w:eastAsia="宋体" w:cs="宋体"/>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Cs/>
          <w:color w:val="000000" w:themeColor="text1"/>
          <w:sz w:val="24"/>
          <w:szCs w:val="24"/>
          <w:highlight w:val="none"/>
          <w14:textFill>
            <w14:solidFill>
              <w14:schemeClr w14:val="tx1"/>
            </w14:solidFill>
          </w14:textFill>
        </w:rPr>
        <w:t>③</w:t>
      </w:r>
      <w:r>
        <w:rPr>
          <w:rFonts w:hint="eastAsia" w:ascii="宋体" w:hAnsi="宋体" w:eastAsia="宋体" w:cs="宋体"/>
          <w:bCs/>
          <w:color w:val="000000" w:themeColor="text1"/>
          <w:sz w:val="24"/>
          <w:szCs w:val="24"/>
          <w:highlight w:val="none"/>
          <w14:textFill>
            <w14:solidFill>
              <w14:schemeClr w14:val="tx1"/>
            </w14:solidFill>
          </w14:textFill>
        </w:rPr>
        <w:fldChar w:fldCharType="end"/>
      </w:r>
      <w:r>
        <w:rPr>
          <w:rFonts w:hint="eastAsia" w:ascii="宋体" w:hAnsi="宋体" w:eastAsia="宋体" w:cs="宋体"/>
          <w:bCs/>
          <w:color w:val="000000" w:themeColor="text1"/>
          <w:sz w:val="24"/>
          <w:szCs w:val="24"/>
          <w:highlight w:val="none"/>
          <w14:textFill>
            <w14:solidFill>
              <w14:schemeClr w14:val="tx1"/>
            </w14:solidFill>
          </w14:textFill>
        </w:rPr>
        <w:t>乙方应保证服务人员的稳定，未经甲方同意，不得变更服务人员。</w:t>
      </w:r>
    </w:p>
    <w:p w14:paraId="59A03009">
      <w:pPr>
        <w:keepNext w:val="0"/>
        <w:keepLines w:val="0"/>
        <w:pageBreakBefore w:val="0"/>
        <w:tabs>
          <w:tab w:val="left" w:pos="0"/>
        </w:tabs>
        <w:kinsoku/>
        <w:wordWrap/>
        <w:overflowPunct/>
        <w:topLinePunct w:val="0"/>
        <w:bidi w:val="0"/>
        <w:snapToGrid/>
        <w:spacing w:line="480" w:lineRule="exact"/>
        <w:ind w:right="-27" w:firstLine="789"/>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fldChar w:fldCharType="begin"/>
      </w:r>
      <w:r>
        <w:rPr>
          <w:rFonts w:hint="eastAsia" w:ascii="宋体" w:hAnsi="宋体" w:eastAsia="宋体" w:cs="宋体"/>
          <w:bCs/>
          <w:color w:val="000000" w:themeColor="text1"/>
          <w:sz w:val="24"/>
          <w:szCs w:val="24"/>
          <w:highlight w:val="none"/>
          <w14:textFill>
            <w14:solidFill>
              <w14:schemeClr w14:val="tx1"/>
            </w14:solidFill>
          </w14:textFill>
        </w:rPr>
        <w:instrText xml:space="preserve"> = 4 \* GB3 </w:instrText>
      </w:r>
      <w:r>
        <w:rPr>
          <w:rFonts w:hint="eastAsia" w:ascii="宋体" w:hAnsi="宋体" w:eastAsia="宋体" w:cs="宋体"/>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Cs/>
          <w:color w:val="000000" w:themeColor="text1"/>
          <w:sz w:val="24"/>
          <w:szCs w:val="24"/>
          <w:highlight w:val="none"/>
          <w14:textFill>
            <w14:solidFill>
              <w14:schemeClr w14:val="tx1"/>
            </w14:solidFill>
          </w14:textFill>
        </w:rPr>
        <w:t>④</w:t>
      </w:r>
      <w:r>
        <w:rPr>
          <w:rFonts w:hint="eastAsia" w:ascii="宋体" w:hAnsi="宋体" w:eastAsia="宋体" w:cs="宋体"/>
          <w:bCs/>
          <w:color w:val="000000" w:themeColor="text1"/>
          <w:sz w:val="24"/>
          <w:szCs w:val="24"/>
          <w:highlight w:val="none"/>
          <w14:textFill>
            <w14:solidFill>
              <w14:schemeClr w14:val="tx1"/>
            </w14:solidFill>
          </w14:textFill>
        </w:rPr>
        <w:fldChar w:fldCharType="end"/>
      </w:r>
      <w:r>
        <w:rPr>
          <w:rFonts w:hint="eastAsia" w:ascii="宋体" w:hAnsi="宋体" w:eastAsia="宋体" w:cs="宋体"/>
          <w:bCs/>
          <w:color w:val="000000" w:themeColor="text1"/>
          <w:sz w:val="24"/>
          <w:szCs w:val="24"/>
          <w:highlight w:val="none"/>
          <w14:textFill>
            <w14:solidFill>
              <w14:schemeClr w14:val="tx1"/>
            </w14:solidFill>
          </w14:textFill>
        </w:rPr>
        <w:t>乙方应当及时响应甲方的服务需求，在甲方提出派员到场服务时，应当与甲方确定到场时间。甲方紧急服务需求时，乙方应在</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小时内派员到场。</w:t>
      </w:r>
    </w:p>
    <w:p w14:paraId="6D546C57">
      <w:pPr>
        <w:keepNext w:val="0"/>
        <w:keepLines w:val="0"/>
        <w:pageBreakBefore w:val="0"/>
        <w:tabs>
          <w:tab w:val="left" w:pos="0"/>
        </w:tabs>
        <w:kinsoku/>
        <w:wordWrap/>
        <w:overflowPunct/>
        <w:topLinePunct w:val="0"/>
        <w:bidi w:val="0"/>
        <w:snapToGrid/>
        <w:spacing w:line="480" w:lineRule="exact"/>
        <w:ind w:right="-27" w:firstLine="789"/>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fldChar w:fldCharType="begin"/>
      </w:r>
      <w:r>
        <w:rPr>
          <w:rFonts w:hint="eastAsia" w:ascii="宋体" w:hAnsi="宋体" w:eastAsia="宋体" w:cs="宋体"/>
          <w:bCs/>
          <w:color w:val="000000" w:themeColor="text1"/>
          <w:sz w:val="24"/>
          <w:szCs w:val="24"/>
          <w:highlight w:val="none"/>
          <w14:textFill>
            <w14:solidFill>
              <w14:schemeClr w14:val="tx1"/>
            </w14:solidFill>
          </w14:textFill>
        </w:rPr>
        <w:instrText xml:space="preserve"> = 5 \* GB3 </w:instrText>
      </w:r>
      <w:r>
        <w:rPr>
          <w:rFonts w:hint="eastAsia" w:ascii="宋体" w:hAnsi="宋体" w:eastAsia="宋体" w:cs="宋体"/>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Cs/>
          <w:color w:val="000000" w:themeColor="text1"/>
          <w:sz w:val="24"/>
          <w:szCs w:val="24"/>
          <w:highlight w:val="none"/>
          <w14:textFill>
            <w14:solidFill>
              <w14:schemeClr w14:val="tx1"/>
            </w14:solidFill>
          </w14:textFill>
        </w:rPr>
        <w:t>⑤</w:t>
      </w:r>
      <w:r>
        <w:rPr>
          <w:rFonts w:hint="eastAsia" w:ascii="宋体" w:hAnsi="宋体" w:eastAsia="宋体" w:cs="宋体"/>
          <w:bCs/>
          <w:color w:val="000000" w:themeColor="text1"/>
          <w:sz w:val="24"/>
          <w:szCs w:val="24"/>
          <w:highlight w:val="none"/>
          <w14:textFill>
            <w14:solidFill>
              <w14:schemeClr w14:val="tx1"/>
            </w14:solidFill>
          </w14:textFill>
        </w:rPr>
        <w:fldChar w:fldCharType="end"/>
      </w:r>
      <w:r>
        <w:rPr>
          <w:rFonts w:hint="eastAsia" w:ascii="宋体" w:hAnsi="宋体" w:eastAsia="宋体" w:cs="宋体"/>
          <w:bCs/>
          <w:color w:val="000000" w:themeColor="text1"/>
          <w:sz w:val="24"/>
          <w:szCs w:val="24"/>
          <w:highlight w:val="none"/>
          <w14:textFill>
            <w14:solidFill>
              <w14:schemeClr w14:val="tx1"/>
            </w14:solidFill>
          </w14:textFill>
        </w:rPr>
        <w:t>定期组织服务人员进行培训学习，不断提高服务人员业务技能。</w:t>
      </w:r>
    </w:p>
    <w:p w14:paraId="2FE36326">
      <w:pPr>
        <w:keepNext w:val="0"/>
        <w:keepLines w:val="0"/>
        <w:pageBreakBefore w:val="0"/>
        <w:tabs>
          <w:tab w:val="left" w:pos="0"/>
        </w:tabs>
        <w:kinsoku/>
        <w:wordWrap/>
        <w:overflowPunct/>
        <w:topLinePunct w:val="0"/>
        <w:bidi w:val="0"/>
        <w:snapToGrid/>
        <w:spacing w:line="480" w:lineRule="exact"/>
        <w:ind w:right="-27" w:firstLine="789"/>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fldChar w:fldCharType="begin"/>
      </w:r>
      <w:r>
        <w:rPr>
          <w:rFonts w:hint="eastAsia" w:ascii="宋体" w:hAnsi="宋体" w:eastAsia="宋体" w:cs="宋体"/>
          <w:bCs/>
          <w:color w:val="000000" w:themeColor="text1"/>
          <w:sz w:val="24"/>
          <w:szCs w:val="24"/>
          <w:highlight w:val="none"/>
          <w14:textFill>
            <w14:solidFill>
              <w14:schemeClr w14:val="tx1"/>
            </w14:solidFill>
          </w14:textFill>
        </w:rPr>
        <w:instrText xml:space="preserve"> = 6 \* GB3 </w:instrText>
      </w:r>
      <w:r>
        <w:rPr>
          <w:rFonts w:hint="eastAsia" w:ascii="宋体" w:hAnsi="宋体" w:eastAsia="宋体" w:cs="宋体"/>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Cs/>
          <w:color w:val="000000" w:themeColor="text1"/>
          <w:sz w:val="24"/>
          <w:szCs w:val="24"/>
          <w:highlight w:val="none"/>
          <w14:textFill>
            <w14:solidFill>
              <w14:schemeClr w14:val="tx1"/>
            </w14:solidFill>
          </w14:textFill>
        </w:rPr>
        <w:t>⑥</w:t>
      </w:r>
      <w:r>
        <w:rPr>
          <w:rFonts w:hint="eastAsia" w:ascii="宋体" w:hAnsi="宋体" w:eastAsia="宋体" w:cs="宋体"/>
          <w:bCs/>
          <w:color w:val="000000" w:themeColor="text1"/>
          <w:sz w:val="24"/>
          <w:szCs w:val="24"/>
          <w:highlight w:val="none"/>
          <w14:textFill>
            <w14:solidFill>
              <w14:schemeClr w14:val="tx1"/>
            </w14:solidFill>
          </w14:textFill>
        </w:rPr>
        <w:fldChar w:fldCharType="end"/>
      </w:r>
      <w:r>
        <w:rPr>
          <w:rFonts w:hint="eastAsia" w:ascii="宋体" w:hAnsi="宋体" w:eastAsia="宋体" w:cs="宋体"/>
          <w:bCs/>
          <w:color w:val="000000" w:themeColor="text1"/>
          <w:sz w:val="24"/>
          <w:szCs w:val="24"/>
          <w:highlight w:val="none"/>
          <w14:textFill>
            <w14:solidFill>
              <w14:schemeClr w14:val="tx1"/>
            </w14:solidFill>
          </w14:textFill>
        </w:rPr>
        <w:t>乙方做好安全生产工作，对在工作中出现的服务人员的人身安全承担责任，并对由于服务人员的原因导致的第三人的人身财产损失承担赔偿责任。</w:t>
      </w:r>
    </w:p>
    <w:p w14:paraId="428FB90D">
      <w:pPr>
        <w:keepNext w:val="0"/>
        <w:keepLines w:val="0"/>
        <w:pageBreakBefore w:val="0"/>
        <w:tabs>
          <w:tab w:val="left" w:pos="0"/>
        </w:tabs>
        <w:kinsoku/>
        <w:wordWrap/>
        <w:overflowPunct/>
        <w:topLinePunct w:val="0"/>
        <w:bidi w:val="0"/>
        <w:snapToGrid/>
        <w:spacing w:line="480" w:lineRule="exact"/>
        <w:ind w:right="-27" w:firstLine="789"/>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fldChar w:fldCharType="begin"/>
      </w:r>
      <w:r>
        <w:rPr>
          <w:rFonts w:hint="eastAsia" w:ascii="宋体" w:hAnsi="宋体" w:eastAsia="宋体" w:cs="宋体"/>
          <w:bCs/>
          <w:color w:val="000000" w:themeColor="text1"/>
          <w:sz w:val="24"/>
          <w:szCs w:val="24"/>
          <w:highlight w:val="none"/>
          <w14:textFill>
            <w14:solidFill>
              <w14:schemeClr w14:val="tx1"/>
            </w14:solidFill>
          </w14:textFill>
        </w:rPr>
        <w:instrText xml:space="preserve"> = 7 \* GB3 </w:instrText>
      </w:r>
      <w:r>
        <w:rPr>
          <w:rFonts w:hint="eastAsia" w:ascii="宋体" w:hAnsi="宋体" w:eastAsia="宋体" w:cs="宋体"/>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Cs/>
          <w:color w:val="000000" w:themeColor="text1"/>
          <w:sz w:val="24"/>
          <w:szCs w:val="24"/>
          <w:highlight w:val="none"/>
          <w14:textFill>
            <w14:solidFill>
              <w14:schemeClr w14:val="tx1"/>
            </w14:solidFill>
          </w14:textFill>
        </w:rPr>
        <w:t>⑦</w:t>
      </w:r>
      <w:r>
        <w:rPr>
          <w:rFonts w:hint="eastAsia" w:ascii="宋体" w:hAnsi="宋体" w:eastAsia="宋体" w:cs="宋体"/>
          <w:bCs/>
          <w:color w:val="000000" w:themeColor="text1"/>
          <w:sz w:val="24"/>
          <w:szCs w:val="24"/>
          <w:highlight w:val="none"/>
          <w14:textFill>
            <w14:solidFill>
              <w14:schemeClr w14:val="tx1"/>
            </w14:solidFill>
          </w14:textFill>
        </w:rPr>
        <w:fldChar w:fldCharType="end"/>
      </w:r>
      <w:r>
        <w:rPr>
          <w:rFonts w:hint="eastAsia" w:ascii="宋体" w:hAnsi="宋体" w:eastAsia="宋体" w:cs="宋体"/>
          <w:bCs/>
          <w:color w:val="000000" w:themeColor="text1"/>
          <w:sz w:val="24"/>
          <w:szCs w:val="24"/>
          <w:highlight w:val="none"/>
          <w14:textFill>
            <w14:solidFill>
              <w14:schemeClr w14:val="tx1"/>
            </w14:solidFill>
          </w14:textFill>
        </w:rPr>
        <w:t>乙方应根据国家法律法规的规定与其为甲方提供服务的人员签署劳动合同，并负责上述人员的工资和社会劳动保险、奖金、福利等费用，若发生劳动争议均由乙方自己解决并承担所有责任，甲方无任何连带关系和责任。</w:t>
      </w:r>
    </w:p>
    <w:p w14:paraId="6BC00592">
      <w:pPr>
        <w:keepNext w:val="0"/>
        <w:keepLines w:val="0"/>
        <w:pageBreakBefore w:val="0"/>
        <w:tabs>
          <w:tab w:val="left" w:pos="0"/>
        </w:tabs>
        <w:kinsoku/>
        <w:wordWrap/>
        <w:overflowPunct/>
        <w:topLinePunct w:val="0"/>
        <w:bidi w:val="0"/>
        <w:snapToGrid/>
        <w:spacing w:line="480" w:lineRule="exact"/>
        <w:ind w:right="-27" w:firstLine="789"/>
        <w:textAlignment w:val="auto"/>
        <w:rPr>
          <w:rFonts w:hint="eastAsia" w:ascii="宋体" w:hAnsi="宋体" w:eastAsia="宋体" w:cs="宋体"/>
          <w:bCs/>
          <w:color w:val="auto"/>
          <w:sz w:val="24"/>
          <w:szCs w:val="24"/>
          <w:highlight w:val="none"/>
        </w:rPr>
      </w:pPr>
      <w:r>
        <w:rPr>
          <w:rFonts w:hint="eastAsia" w:ascii="宋体" w:hAnsi="宋体" w:eastAsia="宋体" w:cs="宋体"/>
          <w:bCs/>
          <w:color w:val="000000" w:themeColor="text1"/>
          <w:sz w:val="24"/>
          <w:szCs w:val="24"/>
          <w:highlight w:val="none"/>
          <w14:textFill>
            <w14:solidFill>
              <w14:schemeClr w14:val="tx1"/>
            </w14:solidFill>
          </w14:textFill>
        </w:rPr>
        <w:fldChar w:fldCharType="begin"/>
      </w:r>
      <w:r>
        <w:rPr>
          <w:rFonts w:hint="eastAsia" w:ascii="宋体" w:hAnsi="宋体" w:eastAsia="宋体" w:cs="宋体"/>
          <w:bCs/>
          <w:color w:val="000000" w:themeColor="text1"/>
          <w:sz w:val="24"/>
          <w:szCs w:val="24"/>
          <w:highlight w:val="none"/>
          <w14:textFill>
            <w14:solidFill>
              <w14:schemeClr w14:val="tx1"/>
            </w14:solidFill>
          </w14:textFill>
        </w:rPr>
        <w:instrText xml:space="preserve"> = 8 \* GB3 </w:instrText>
      </w:r>
      <w:r>
        <w:rPr>
          <w:rFonts w:hint="eastAsia" w:ascii="宋体" w:hAnsi="宋体" w:eastAsia="宋体" w:cs="宋体"/>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Cs/>
          <w:color w:val="000000" w:themeColor="text1"/>
          <w:sz w:val="24"/>
          <w:szCs w:val="24"/>
          <w:highlight w:val="none"/>
          <w14:textFill>
            <w14:solidFill>
              <w14:schemeClr w14:val="tx1"/>
            </w14:solidFill>
          </w14:textFill>
        </w:rPr>
        <w:t>⑧</w:t>
      </w:r>
      <w:r>
        <w:rPr>
          <w:rFonts w:hint="eastAsia" w:ascii="宋体" w:hAnsi="宋体" w:eastAsia="宋体" w:cs="宋体"/>
          <w:bCs/>
          <w:color w:val="000000" w:themeColor="text1"/>
          <w:sz w:val="24"/>
          <w:szCs w:val="24"/>
          <w:highlight w:val="none"/>
          <w14:textFill>
            <w14:solidFill>
              <w14:schemeClr w14:val="tx1"/>
            </w14:solidFill>
          </w14:textFill>
        </w:rPr>
        <w:fldChar w:fldCharType="end"/>
      </w:r>
      <w:r>
        <w:rPr>
          <w:rFonts w:hint="eastAsia" w:ascii="宋体" w:hAnsi="宋体" w:eastAsia="宋体" w:cs="宋体"/>
          <w:bCs/>
          <w:color w:val="000000" w:themeColor="text1"/>
          <w:sz w:val="24"/>
          <w:szCs w:val="24"/>
          <w:highlight w:val="none"/>
          <w14:textFill>
            <w14:solidFill>
              <w14:schemeClr w14:val="tx1"/>
            </w14:solidFill>
          </w14:textFill>
        </w:rPr>
        <w:t>法规、政策规定由乙方承担的其他责任</w:t>
      </w:r>
      <w:r>
        <w:rPr>
          <w:rFonts w:hint="eastAsia" w:ascii="宋体" w:hAnsi="宋体" w:eastAsia="宋体" w:cs="宋体"/>
          <w:color w:val="auto"/>
          <w:sz w:val="24"/>
          <w:szCs w:val="24"/>
          <w:highlight w:val="none"/>
        </w:rPr>
        <w:t>。</w:t>
      </w:r>
    </w:p>
    <w:bookmarkEnd w:id="127"/>
    <w:bookmarkEnd w:id="128"/>
    <w:bookmarkEnd w:id="129"/>
    <w:bookmarkEnd w:id="130"/>
    <w:bookmarkEnd w:id="131"/>
    <w:p w14:paraId="033E5C88">
      <w:pPr>
        <w:keepNext w:val="0"/>
        <w:keepLines w:val="0"/>
        <w:pageBreakBefore w:val="0"/>
        <w:kinsoku/>
        <w:wordWrap/>
        <w:overflowPunct/>
        <w:topLinePunct w:val="0"/>
        <w:bidi w:val="0"/>
        <w:snapToGrid/>
        <w:spacing w:line="480" w:lineRule="exact"/>
        <w:textAlignment w:val="auto"/>
        <w:rPr>
          <w:rFonts w:hint="eastAsia" w:ascii="宋体" w:hAnsi="宋体" w:eastAsia="宋体" w:cs="宋体"/>
          <w:bCs/>
          <w:color w:val="auto"/>
          <w:kern w:val="0"/>
          <w:sz w:val="24"/>
          <w:szCs w:val="24"/>
          <w:highlight w:val="none"/>
          <w:u w:val="single"/>
        </w:rPr>
      </w:pPr>
      <w:r>
        <w:rPr>
          <w:rFonts w:hint="eastAsia" w:ascii="宋体" w:hAnsi="宋体" w:eastAsia="宋体" w:cs="宋体"/>
          <w:b/>
          <w:bCs/>
          <w:color w:val="auto"/>
          <w:kern w:val="0"/>
          <w:sz w:val="24"/>
          <w:szCs w:val="24"/>
          <w:highlight w:val="none"/>
        </w:rPr>
        <w:t>1.</w:t>
      </w:r>
      <w:r>
        <w:rPr>
          <w:rFonts w:hint="eastAsia" w:ascii="宋体" w:hAnsi="宋体" w:eastAsia="宋体" w:cs="宋体"/>
          <w:b/>
          <w:bCs/>
          <w:color w:val="auto"/>
          <w:kern w:val="0"/>
          <w:sz w:val="24"/>
          <w:szCs w:val="24"/>
          <w:highlight w:val="none"/>
          <w:lang w:val="en-US" w:eastAsia="zh-CN"/>
        </w:rPr>
        <w:t>8</w:t>
      </w:r>
      <w:r>
        <w:rPr>
          <w:rFonts w:hint="eastAsia" w:ascii="宋体" w:hAnsi="宋体" w:eastAsia="宋体" w:cs="宋体"/>
          <w:b/>
          <w:bCs/>
          <w:color w:val="auto"/>
          <w:kern w:val="0"/>
          <w:sz w:val="24"/>
          <w:szCs w:val="24"/>
          <w:highlight w:val="none"/>
        </w:rPr>
        <w:t xml:space="preserve"> 违约责任</w:t>
      </w:r>
    </w:p>
    <w:p w14:paraId="2BFEFBF6">
      <w:pPr>
        <w:keepNext w:val="0"/>
        <w:keepLines w:val="0"/>
        <w:pageBreakBefore w:val="0"/>
        <w:tabs>
          <w:tab w:val="left" w:pos="0"/>
        </w:tabs>
        <w:kinsoku/>
        <w:wordWrap/>
        <w:overflowPunct/>
        <w:topLinePunct w:val="0"/>
        <w:bidi w:val="0"/>
        <w:snapToGrid/>
        <w:spacing w:line="480" w:lineRule="exact"/>
        <w:ind w:right="-27" w:firstLine="480"/>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1.8.1</w:t>
      </w:r>
      <w:r>
        <w:rPr>
          <w:rFonts w:hint="eastAsia" w:ascii="宋体" w:hAnsi="宋体" w:eastAsia="宋体" w:cs="宋体"/>
          <w:bCs/>
          <w:color w:val="000000" w:themeColor="text1"/>
          <w:sz w:val="24"/>
          <w:szCs w:val="24"/>
          <w:highlight w:val="none"/>
          <w14:textFill>
            <w14:solidFill>
              <w14:schemeClr w14:val="tx1"/>
            </w14:solidFill>
          </w14:textFill>
        </w:rPr>
        <w:t>有下列情形之一的，乙方应当向甲方支付合同约定合同价款金额</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5 </w:t>
      </w:r>
      <w:r>
        <w:rPr>
          <w:rFonts w:hint="eastAsia" w:ascii="宋体" w:hAnsi="宋体" w:eastAsia="宋体" w:cs="宋体"/>
          <w:bCs/>
          <w:color w:val="000000" w:themeColor="text1"/>
          <w:sz w:val="24"/>
          <w:szCs w:val="24"/>
          <w:highlight w:val="none"/>
          <w14:textFill>
            <w14:solidFill>
              <w14:schemeClr w14:val="tx1"/>
            </w14:solidFill>
          </w14:textFill>
        </w:rPr>
        <w:t>%的违约金：</w:t>
      </w:r>
    </w:p>
    <w:p w14:paraId="18FF0F45">
      <w:pPr>
        <w:keepNext w:val="0"/>
        <w:keepLines w:val="0"/>
        <w:pageBreakBefore w:val="0"/>
        <w:tabs>
          <w:tab w:val="left" w:pos="0"/>
        </w:tabs>
        <w:kinsoku/>
        <w:wordWrap/>
        <w:overflowPunct/>
        <w:topLinePunct w:val="0"/>
        <w:bidi w:val="0"/>
        <w:snapToGrid/>
        <w:spacing w:line="480" w:lineRule="exact"/>
        <w:ind w:right="-27" w:firstLine="480"/>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1.8.2</w:t>
      </w:r>
      <w:r>
        <w:rPr>
          <w:rFonts w:hint="eastAsia" w:ascii="宋体" w:hAnsi="宋体" w:eastAsia="宋体" w:cs="宋体"/>
          <w:bCs/>
          <w:color w:val="000000" w:themeColor="text1"/>
          <w:sz w:val="24"/>
          <w:szCs w:val="24"/>
          <w:highlight w:val="none"/>
          <w14:textFill>
            <w14:solidFill>
              <w14:schemeClr w14:val="tx1"/>
            </w14:solidFill>
          </w14:textFill>
        </w:rPr>
        <w:t>乙方服务团队成员未经甲方同意发生变更，经甲方要求恢复后，未在合理期限内（</w:t>
      </w:r>
      <w:r>
        <w:rPr>
          <w:rFonts w:hint="eastAsia" w:ascii="宋体" w:hAnsi="宋体" w:eastAsia="宋体" w:cs="宋体"/>
          <w:bCs/>
          <w:color w:val="000000" w:themeColor="text1"/>
          <w:sz w:val="24"/>
          <w:szCs w:val="24"/>
          <w:highlight w:val="none"/>
          <w:u w:val="single"/>
          <w14:textFill>
            <w14:solidFill>
              <w14:schemeClr w14:val="tx1"/>
            </w14:solidFill>
          </w14:textFill>
        </w:rPr>
        <w:t>5个工作</w:t>
      </w:r>
      <w:r>
        <w:rPr>
          <w:rFonts w:hint="eastAsia" w:ascii="宋体" w:hAnsi="宋体" w:eastAsia="宋体" w:cs="宋体"/>
          <w:bCs/>
          <w:color w:val="000000" w:themeColor="text1"/>
          <w:sz w:val="24"/>
          <w:szCs w:val="24"/>
          <w:highlight w:val="none"/>
          <w14:textFill>
            <w14:solidFill>
              <w14:schemeClr w14:val="tx1"/>
            </w14:solidFill>
          </w14:textFill>
        </w:rPr>
        <w:t>日内）恢复的；</w:t>
      </w:r>
    </w:p>
    <w:p w14:paraId="4A10C270">
      <w:pPr>
        <w:keepNext w:val="0"/>
        <w:keepLines w:val="0"/>
        <w:pageBreakBefore w:val="0"/>
        <w:tabs>
          <w:tab w:val="left" w:pos="0"/>
        </w:tabs>
        <w:kinsoku/>
        <w:wordWrap/>
        <w:overflowPunct/>
        <w:topLinePunct w:val="0"/>
        <w:bidi w:val="0"/>
        <w:snapToGrid/>
        <w:spacing w:line="480" w:lineRule="exact"/>
        <w:ind w:right="-27" w:firstLine="480"/>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8.3</w:t>
      </w:r>
      <w:r>
        <w:rPr>
          <w:rFonts w:hint="eastAsia" w:ascii="宋体" w:hAnsi="宋体" w:eastAsia="宋体" w:cs="宋体"/>
          <w:bCs/>
          <w:color w:val="000000" w:themeColor="text1"/>
          <w:sz w:val="24"/>
          <w:szCs w:val="24"/>
          <w:highlight w:val="none"/>
          <w14:textFill>
            <w14:solidFill>
              <w14:schemeClr w14:val="tx1"/>
            </w14:solidFill>
          </w14:textFill>
        </w:rPr>
        <w:t>乙方单位总体服务能力发生下降，专业技术人员减员或资质下降人数达到</w:t>
      </w:r>
      <w:r>
        <w:rPr>
          <w:rFonts w:hint="eastAsia" w:ascii="宋体" w:hAnsi="宋体" w:eastAsia="宋体" w:cs="宋体"/>
          <w:bCs/>
          <w:color w:val="000000" w:themeColor="text1"/>
          <w:sz w:val="24"/>
          <w:szCs w:val="24"/>
          <w:highlight w:val="none"/>
          <w:u w:val="single"/>
          <w14:textFill>
            <w14:solidFill>
              <w14:schemeClr w14:val="tx1"/>
            </w14:solidFill>
          </w14:textFill>
        </w:rPr>
        <w:t>20%</w:t>
      </w:r>
      <w:r>
        <w:rPr>
          <w:rFonts w:hint="eastAsia" w:ascii="宋体" w:hAnsi="宋体" w:eastAsia="宋体" w:cs="宋体"/>
          <w:bCs/>
          <w:color w:val="000000" w:themeColor="text1"/>
          <w:sz w:val="24"/>
          <w:szCs w:val="24"/>
          <w:highlight w:val="none"/>
          <w14:textFill>
            <w14:solidFill>
              <w14:schemeClr w14:val="tx1"/>
            </w14:solidFill>
          </w14:textFill>
        </w:rPr>
        <w:t>的；</w:t>
      </w:r>
    </w:p>
    <w:p w14:paraId="258E2B59">
      <w:pPr>
        <w:keepNext w:val="0"/>
        <w:keepLines w:val="0"/>
        <w:pageBreakBefore w:val="0"/>
        <w:tabs>
          <w:tab w:val="left" w:pos="0"/>
        </w:tabs>
        <w:kinsoku/>
        <w:wordWrap/>
        <w:overflowPunct/>
        <w:topLinePunct w:val="0"/>
        <w:bidi w:val="0"/>
        <w:snapToGrid/>
        <w:spacing w:line="480" w:lineRule="exact"/>
        <w:ind w:right="-27" w:firstLine="480"/>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8.4</w:t>
      </w:r>
      <w:r>
        <w:rPr>
          <w:rFonts w:hint="eastAsia" w:ascii="宋体" w:hAnsi="宋体" w:eastAsia="宋体" w:cs="宋体"/>
          <w:bCs/>
          <w:color w:val="000000" w:themeColor="text1"/>
          <w:sz w:val="24"/>
          <w:szCs w:val="24"/>
          <w:highlight w:val="none"/>
          <w14:textFill>
            <w14:solidFill>
              <w14:schemeClr w14:val="tx1"/>
            </w14:solidFill>
          </w14:textFill>
        </w:rPr>
        <w:t>乙方人员无故未能按约到甲方提供服务，服务期限内达到</w:t>
      </w:r>
      <w:r>
        <w:rPr>
          <w:rFonts w:hint="eastAsia" w:ascii="宋体" w:hAnsi="宋体" w:eastAsia="宋体" w:cs="宋体"/>
          <w:bCs/>
          <w:color w:val="000000" w:themeColor="text1"/>
          <w:sz w:val="24"/>
          <w:szCs w:val="24"/>
          <w:highlight w:val="none"/>
          <w:u w:val="single"/>
          <w14:textFill>
            <w14:solidFill>
              <w14:schemeClr w14:val="tx1"/>
            </w14:solidFill>
          </w14:textFill>
        </w:rPr>
        <w:t>二</w:t>
      </w:r>
      <w:r>
        <w:rPr>
          <w:rFonts w:hint="eastAsia" w:ascii="宋体" w:hAnsi="宋体" w:eastAsia="宋体" w:cs="宋体"/>
          <w:bCs/>
          <w:color w:val="000000" w:themeColor="text1"/>
          <w:sz w:val="24"/>
          <w:szCs w:val="24"/>
          <w:highlight w:val="none"/>
          <w14:textFill>
            <w14:solidFill>
              <w14:schemeClr w14:val="tx1"/>
            </w14:solidFill>
          </w14:textFill>
        </w:rPr>
        <w:t>人次的；</w:t>
      </w:r>
    </w:p>
    <w:p w14:paraId="3740B76D">
      <w:pPr>
        <w:keepNext w:val="0"/>
        <w:keepLines w:val="0"/>
        <w:pageBreakBefore w:val="0"/>
        <w:tabs>
          <w:tab w:val="left" w:pos="0"/>
        </w:tabs>
        <w:kinsoku/>
        <w:wordWrap/>
        <w:overflowPunct/>
        <w:topLinePunct w:val="0"/>
        <w:bidi w:val="0"/>
        <w:snapToGrid/>
        <w:spacing w:line="480" w:lineRule="exact"/>
        <w:ind w:right="-27" w:firstLine="480"/>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8.5</w:t>
      </w:r>
      <w:r>
        <w:rPr>
          <w:rFonts w:hint="eastAsia" w:ascii="宋体" w:hAnsi="宋体" w:eastAsia="宋体" w:cs="宋体"/>
          <w:bCs/>
          <w:color w:val="000000" w:themeColor="text1"/>
          <w:sz w:val="24"/>
          <w:szCs w:val="24"/>
          <w:highlight w:val="none"/>
          <w14:textFill>
            <w14:solidFill>
              <w14:schemeClr w14:val="tx1"/>
            </w14:solidFill>
          </w14:textFill>
        </w:rPr>
        <w:t>乙方人员不能响应甲方紧急服务需求的；</w:t>
      </w:r>
    </w:p>
    <w:p w14:paraId="3C1EBBCB">
      <w:pPr>
        <w:keepNext w:val="0"/>
        <w:keepLines w:val="0"/>
        <w:pageBreakBefore w:val="0"/>
        <w:tabs>
          <w:tab w:val="left" w:pos="0"/>
        </w:tabs>
        <w:kinsoku/>
        <w:wordWrap/>
        <w:overflowPunct/>
        <w:topLinePunct w:val="0"/>
        <w:bidi w:val="0"/>
        <w:snapToGrid/>
        <w:spacing w:line="480" w:lineRule="exact"/>
        <w:ind w:right="-27" w:firstLine="480"/>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8.6</w:t>
      </w:r>
      <w:r>
        <w:rPr>
          <w:rFonts w:hint="eastAsia" w:ascii="宋体" w:hAnsi="宋体" w:eastAsia="宋体" w:cs="宋体"/>
          <w:bCs/>
          <w:color w:val="000000" w:themeColor="text1"/>
          <w:sz w:val="24"/>
          <w:szCs w:val="24"/>
          <w:highlight w:val="none"/>
          <w14:textFill>
            <w14:solidFill>
              <w14:schemeClr w14:val="tx1"/>
            </w14:solidFill>
          </w14:textFill>
        </w:rPr>
        <w:t>因乙方服务人员原因在服务期间给甲方造成不良影响的，服务期限内达到</w:t>
      </w:r>
      <w:r>
        <w:rPr>
          <w:rFonts w:hint="eastAsia" w:ascii="宋体" w:hAnsi="宋体" w:eastAsia="宋体" w:cs="宋体"/>
          <w:bCs/>
          <w:color w:val="000000" w:themeColor="text1"/>
          <w:sz w:val="24"/>
          <w:szCs w:val="24"/>
          <w:highlight w:val="none"/>
          <w:u w:val="single"/>
          <w14:textFill>
            <w14:solidFill>
              <w14:schemeClr w14:val="tx1"/>
            </w14:solidFill>
          </w14:textFill>
        </w:rPr>
        <w:t>一</w:t>
      </w:r>
      <w:r>
        <w:rPr>
          <w:rFonts w:hint="eastAsia" w:ascii="宋体" w:hAnsi="宋体" w:eastAsia="宋体" w:cs="宋体"/>
          <w:bCs/>
          <w:color w:val="000000" w:themeColor="text1"/>
          <w:sz w:val="24"/>
          <w:szCs w:val="24"/>
          <w:highlight w:val="none"/>
          <w14:textFill>
            <w14:solidFill>
              <w14:schemeClr w14:val="tx1"/>
            </w14:solidFill>
          </w14:textFill>
        </w:rPr>
        <w:t>次的；</w:t>
      </w:r>
    </w:p>
    <w:p w14:paraId="1EA3FE79">
      <w:pPr>
        <w:keepNext w:val="0"/>
        <w:keepLines w:val="0"/>
        <w:pageBreakBefore w:val="0"/>
        <w:tabs>
          <w:tab w:val="left" w:pos="0"/>
        </w:tabs>
        <w:kinsoku/>
        <w:wordWrap/>
        <w:overflowPunct/>
        <w:topLinePunct w:val="0"/>
        <w:bidi w:val="0"/>
        <w:snapToGrid/>
        <w:spacing w:line="480" w:lineRule="exact"/>
        <w:ind w:right="-27" w:firstLine="480"/>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8.7</w:t>
      </w:r>
      <w:r>
        <w:rPr>
          <w:rFonts w:hint="eastAsia" w:ascii="宋体" w:hAnsi="宋体" w:eastAsia="宋体" w:cs="宋体"/>
          <w:bCs/>
          <w:color w:val="000000" w:themeColor="text1"/>
          <w:sz w:val="24"/>
          <w:szCs w:val="24"/>
          <w:highlight w:val="none"/>
          <w14:textFill>
            <w14:solidFill>
              <w14:schemeClr w14:val="tx1"/>
            </w14:solidFill>
          </w14:textFill>
        </w:rPr>
        <w:t>乙方及其服务人员虚报服务内容、服务时间等，骗取甲方服务费用的；</w:t>
      </w:r>
    </w:p>
    <w:p w14:paraId="2609553B">
      <w:pPr>
        <w:keepNext w:val="0"/>
        <w:keepLines w:val="0"/>
        <w:pageBreakBefore w:val="0"/>
        <w:tabs>
          <w:tab w:val="left" w:pos="0"/>
        </w:tabs>
        <w:kinsoku/>
        <w:wordWrap/>
        <w:overflowPunct/>
        <w:topLinePunct w:val="0"/>
        <w:bidi w:val="0"/>
        <w:snapToGrid/>
        <w:spacing w:line="480" w:lineRule="exact"/>
        <w:ind w:right="-27" w:firstLine="480"/>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8.8</w:t>
      </w:r>
      <w:r>
        <w:rPr>
          <w:rFonts w:hint="eastAsia" w:ascii="宋体" w:hAnsi="宋体" w:eastAsia="宋体" w:cs="宋体"/>
          <w:bCs/>
          <w:color w:val="000000" w:themeColor="text1"/>
          <w:sz w:val="24"/>
          <w:szCs w:val="24"/>
          <w:highlight w:val="none"/>
          <w14:textFill>
            <w14:solidFill>
              <w14:schemeClr w14:val="tx1"/>
            </w14:solidFill>
          </w14:textFill>
        </w:rPr>
        <w:t>根据第七条乙方义务，如乙方未按本合同规定提供相关服务或未能履行本合同规定的其他义务的，甲方有权要求乙方限期整改，逾期不整改或整改后仍达不到甲方要求的，甲方有权解除合同，由此造成甲方经济损失的，乙方应承担赔偿责任。同时乙方应向甲方支付合同总价</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5 </w:t>
      </w:r>
      <w:r>
        <w:rPr>
          <w:rFonts w:hint="eastAsia" w:ascii="宋体" w:hAnsi="宋体" w:eastAsia="宋体" w:cs="宋体"/>
          <w:bCs/>
          <w:color w:val="000000" w:themeColor="text1"/>
          <w:sz w:val="24"/>
          <w:szCs w:val="24"/>
          <w:highlight w:val="none"/>
          <w14:textFill>
            <w14:solidFill>
              <w14:schemeClr w14:val="tx1"/>
            </w14:solidFill>
          </w14:textFill>
        </w:rPr>
        <w:t>％的违约金。</w:t>
      </w:r>
    </w:p>
    <w:p w14:paraId="045D2226">
      <w:pPr>
        <w:keepNext w:val="0"/>
        <w:keepLines w:val="0"/>
        <w:pageBreakBefore w:val="0"/>
        <w:tabs>
          <w:tab w:val="left" w:pos="0"/>
        </w:tabs>
        <w:kinsoku/>
        <w:wordWrap/>
        <w:overflowPunct/>
        <w:topLinePunct w:val="0"/>
        <w:bidi w:val="0"/>
        <w:snapToGrid/>
        <w:spacing w:line="480" w:lineRule="exact"/>
        <w:ind w:right="-27" w:firstLine="48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1.8.9</w:t>
      </w:r>
      <w:r>
        <w:rPr>
          <w:rFonts w:hint="eastAsia" w:ascii="宋体" w:hAnsi="宋体" w:eastAsia="宋体" w:cs="宋体"/>
          <w:bCs/>
          <w:color w:val="000000" w:themeColor="text1"/>
          <w:sz w:val="24"/>
          <w:szCs w:val="24"/>
          <w:highlight w:val="none"/>
          <w14:textFill>
            <w14:solidFill>
              <w14:schemeClr w14:val="tx1"/>
            </w14:solidFill>
          </w14:textFill>
        </w:rPr>
        <w:t>乙方在承担上述“1”项中一项或多项违约责任后，仍应继续履行合同规定的义务（甲方解除合同的除外）。甲方未能及时追究乙方的任何一项违约责任并不表明甲方放弃追究乙方该项或其他违约责任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bCs/>
          <w:color w:val="auto"/>
          <w:kern w:val="0"/>
          <w:sz w:val="24"/>
          <w:szCs w:val="24"/>
          <w:highlight w:val="none"/>
        </w:rPr>
        <w:t>。</w:t>
      </w:r>
    </w:p>
    <w:p w14:paraId="2E291047">
      <w:pPr>
        <w:keepNext w:val="0"/>
        <w:keepLines w:val="0"/>
        <w:pageBreakBefore w:val="0"/>
        <w:kinsoku/>
        <w:wordWrap/>
        <w:overflowPunct/>
        <w:topLinePunct w:val="0"/>
        <w:bidi w:val="0"/>
        <w:snapToGrid/>
        <w:spacing w:line="480" w:lineRule="exact"/>
        <w:textAlignment w:val="auto"/>
        <w:rPr>
          <w:rFonts w:hint="eastAsia" w:ascii="宋体" w:hAnsi="宋体" w:eastAsia="宋体" w:cs="宋体"/>
          <w:b/>
          <w:bCs/>
          <w:color w:val="auto"/>
          <w:kern w:val="0"/>
          <w:sz w:val="24"/>
          <w:szCs w:val="24"/>
          <w:highlight w:val="none"/>
        </w:rPr>
      </w:pPr>
      <w:bookmarkStart w:id="132" w:name="_Toc26807"/>
      <w:bookmarkStart w:id="133" w:name="_Toc9497"/>
      <w:bookmarkStart w:id="134" w:name="_Toc18683"/>
      <w:bookmarkStart w:id="135" w:name="_Toc32454"/>
      <w:bookmarkStart w:id="136" w:name="_Toc30329"/>
      <w:r>
        <w:rPr>
          <w:rFonts w:hint="eastAsia" w:ascii="宋体" w:hAnsi="宋体" w:eastAsia="宋体" w:cs="宋体"/>
          <w:b/>
          <w:bCs/>
          <w:color w:val="auto"/>
          <w:kern w:val="0"/>
          <w:sz w:val="24"/>
          <w:szCs w:val="24"/>
          <w:highlight w:val="none"/>
        </w:rPr>
        <w:t>1.</w:t>
      </w:r>
      <w:r>
        <w:rPr>
          <w:rFonts w:hint="eastAsia" w:ascii="宋体" w:hAnsi="宋体" w:eastAsia="宋体" w:cs="宋体"/>
          <w:b/>
          <w:bCs/>
          <w:color w:val="auto"/>
          <w:kern w:val="0"/>
          <w:sz w:val="24"/>
          <w:szCs w:val="24"/>
          <w:highlight w:val="none"/>
          <w:lang w:val="en-US" w:eastAsia="zh-CN"/>
        </w:rPr>
        <w:t>9</w:t>
      </w:r>
      <w:r>
        <w:rPr>
          <w:rFonts w:hint="eastAsia" w:ascii="宋体" w:hAnsi="宋体" w:eastAsia="宋体" w:cs="宋体"/>
          <w:b/>
          <w:bCs/>
          <w:color w:val="auto"/>
          <w:kern w:val="0"/>
          <w:sz w:val="24"/>
          <w:szCs w:val="24"/>
          <w:highlight w:val="none"/>
        </w:rPr>
        <w:t>合同的解除</w:t>
      </w:r>
    </w:p>
    <w:p w14:paraId="1E5B9B81">
      <w:pPr>
        <w:keepNext w:val="0"/>
        <w:keepLines w:val="0"/>
        <w:pageBreakBefore w:val="0"/>
        <w:kinsoku/>
        <w:wordWrap/>
        <w:overflowPunct/>
        <w:topLinePunct w:val="0"/>
        <w:bidi w:val="0"/>
        <w:snapToGrid/>
        <w:spacing w:line="480" w:lineRule="exact"/>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出现下列情形之一的，甲方有权解除本合同：</w:t>
      </w:r>
    </w:p>
    <w:p w14:paraId="5E841E71">
      <w:pPr>
        <w:keepNext w:val="0"/>
        <w:keepLines w:val="0"/>
        <w:pageBreakBefore w:val="0"/>
        <w:kinsoku/>
        <w:wordWrap/>
        <w:overflowPunct/>
        <w:topLinePunct w:val="0"/>
        <w:bidi w:val="0"/>
        <w:snapToGrid/>
        <w:spacing w:line="480" w:lineRule="exact"/>
        <w:ind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1.</w:t>
      </w:r>
      <w:r>
        <w:rPr>
          <w:rFonts w:hint="eastAsia" w:ascii="宋体" w:hAnsi="宋体" w:eastAsia="宋体" w:cs="宋体"/>
          <w:bCs/>
          <w:color w:val="auto"/>
          <w:kern w:val="0"/>
          <w:sz w:val="24"/>
          <w:szCs w:val="24"/>
          <w:highlight w:val="none"/>
          <w:lang w:val="en-US" w:eastAsia="zh-CN"/>
        </w:rPr>
        <w:t>9</w:t>
      </w:r>
      <w:r>
        <w:rPr>
          <w:rFonts w:hint="eastAsia" w:ascii="宋体" w:hAnsi="宋体" w:eastAsia="宋体" w:cs="宋体"/>
          <w:bCs/>
          <w:color w:val="auto"/>
          <w:kern w:val="0"/>
          <w:sz w:val="24"/>
          <w:szCs w:val="24"/>
          <w:highlight w:val="none"/>
        </w:rPr>
        <w:t>.1乙方单位总体服务能力发生下降，专业技术人员减员或资质下降人数达到 30%的；</w:t>
      </w:r>
    </w:p>
    <w:p w14:paraId="39ECC929">
      <w:pPr>
        <w:keepNext w:val="0"/>
        <w:keepLines w:val="0"/>
        <w:pageBreakBefore w:val="0"/>
        <w:kinsoku/>
        <w:wordWrap/>
        <w:overflowPunct/>
        <w:topLinePunct w:val="0"/>
        <w:bidi w:val="0"/>
        <w:snapToGrid/>
        <w:spacing w:line="480" w:lineRule="exact"/>
        <w:ind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1.</w:t>
      </w:r>
      <w:r>
        <w:rPr>
          <w:rFonts w:hint="eastAsia" w:ascii="宋体" w:hAnsi="宋体" w:eastAsia="宋体" w:cs="宋体"/>
          <w:bCs/>
          <w:color w:val="auto"/>
          <w:kern w:val="0"/>
          <w:sz w:val="24"/>
          <w:szCs w:val="24"/>
          <w:highlight w:val="none"/>
          <w:lang w:val="en-US" w:eastAsia="zh-CN"/>
        </w:rPr>
        <w:t>9</w:t>
      </w:r>
      <w:r>
        <w:rPr>
          <w:rFonts w:hint="eastAsia" w:ascii="宋体" w:hAnsi="宋体" w:eastAsia="宋体" w:cs="宋体"/>
          <w:bCs/>
          <w:color w:val="auto"/>
          <w:kern w:val="0"/>
          <w:sz w:val="24"/>
          <w:szCs w:val="24"/>
          <w:highlight w:val="none"/>
        </w:rPr>
        <w:t>.2乙方人员无故未能按约到甲方提供服务，服务期限内达到 3 人次的；</w:t>
      </w:r>
    </w:p>
    <w:p w14:paraId="64F6B817">
      <w:pPr>
        <w:keepNext w:val="0"/>
        <w:keepLines w:val="0"/>
        <w:pageBreakBefore w:val="0"/>
        <w:kinsoku/>
        <w:wordWrap/>
        <w:overflowPunct/>
        <w:topLinePunct w:val="0"/>
        <w:bidi w:val="0"/>
        <w:snapToGrid/>
        <w:spacing w:line="480" w:lineRule="exact"/>
        <w:ind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1.</w:t>
      </w:r>
      <w:r>
        <w:rPr>
          <w:rFonts w:hint="eastAsia" w:ascii="宋体" w:hAnsi="宋体" w:eastAsia="宋体" w:cs="宋体"/>
          <w:bCs/>
          <w:color w:val="auto"/>
          <w:kern w:val="0"/>
          <w:sz w:val="24"/>
          <w:szCs w:val="24"/>
          <w:highlight w:val="none"/>
          <w:lang w:val="en-US" w:eastAsia="zh-CN"/>
        </w:rPr>
        <w:t>9</w:t>
      </w:r>
      <w:r>
        <w:rPr>
          <w:rFonts w:hint="eastAsia" w:ascii="宋体" w:hAnsi="宋体" w:eastAsia="宋体" w:cs="宋体"/>
          <w:bCs/>
          <w:color w:val="auto"/>
          <w:kern w:val="0"/>
          <w:sz w:val="24"/>
          <w:szCs w:val="24"/>
          <w:highlight w:val="none"/>
        </w:rPr>
        <w:t>.3乙方人员不能响应甲方紧急服务需求的，经甲方指出后未能改正的；</w:t>
      </w:r>
    </w:p>
    <w:p w14:paraId="73A0BC27">
      <w:pPr>
        <w:keepNext w:val="0"/>
        <w:keepLines w:val="0"/>
        <w:pageBreakBefore w:val="0"/>
        <w:kinsoku/>
        <w:wordWrap/>
        <w:overflowPunct/>
        <w:topLinePunct w:val="0"/>
        <w:bidi w:val="0"/>
        <w:snapToGrid/>
        <w:spacing w:line="480" w:lineRule="exact"/>
        <w:ind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1.</w:t>
      </w:r>
      <w:r>
        <w:rPr>
          <w:rFonts w:hint="eastAsia" w:ascii="宋体" w:hAnsi="宋体" w:eastAsia="宋体" w:cs="宋体"/>
          <w:bCs/>
          <w:color w:val="auto"/>
          <w:kern w:val="0"/>
          <w:sz w:val="24"/>
          <w:szCs w:val="24"/>
          <w:highlight w:val="none"/>
          <w:lang w:val="en-US" w:eastAsia="zh-CN"/>
        </w:rPr>
        <w:t>9</w:t>
      </w:r>
      <w:r>
        <w:rPr>
          <w:rFonts w:hint="eastAsia" w:ascii="宋体" w:hAnsi="宋体" w:eastAsia="宋体" w:cs="宋体"/>
          <w:bCs/>
          <w:color w:val="auto"/>
          <w:kern w:val="0"/>
          <w:sz w:val="24"/>
          <w:szCs w:val="24"/>
          <w:highlight w:val="none"/>
        </w:rPr>
        <w:t>.4因乙方服务人员原因在服务期间给甲方造成不良影响的，服务期限内达到 2 次的；</w:t>
      </w:r>
    </w:p>
    <w:p w14:paraId="4569E173">
      <w:pPr>
        <w:keepNext w:val="0"/>
        <w:keepLines w:val="0"/>
        <w:pageBreakBefore w:val="0"/>
        <w:kinsoku/>
        <w:wordWrap/>
        <w:overflowPunct/>
        <w:topLinePunct w:val="0"/>
        <w:bidi w:val="0"/>
        <w:snapToGrid/>
        <w:spacing w:line="480" w:lineRule="exact"/>
        <w:ind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1.</w:t>
      </w:r>
      <w:r>
        <w:rPr>
          <w:rFonts w:hint="eastAsia" w:ascii="宋体" w:hAnsi="宋体" w:eastAsia="宋体" w:cs="宋体"/>
          <w:bCs/>
          <w:color w:val="auto"/>
          <w:kern w:val="0"/>
          <w:sz w:val="24"/>
          <w:szCs w:val="24"/>
          <w:highlight w:val="none"/>
          <w:lang w:val="en-US" w:eastAsia="zh-CN"/>
        </w:rPr>
        <w:t>9</w:t>
      </w:r>
      <w:r>
        <w:rPr>
          <w:rFonts w:hint="eastAsia" w:ascii="宋体" w:hAnsi="宋体" w:eastAsia="宋体" w:cs="宋体"/>
          <w:bCs/>
          <w:color w:val="auto"/>
          <w:kern w:val="0"/>
          <w:sz w:val="24"/>
          <w:szCs w:val="24"/>
          <w:highlight w:val="none"/>
        </w:rPr>
        <w:t>.5乙方及其服务人员虚报服务内容、服务时间等，骗取甲方服务费用的;</w:t>
      </w:r>
    </w:p>
    <w:p w14:paraId="6B4ADAFF">
      <w:pPr>
        <w:keepNext w:val="0"/>
        <w:keepLines w:val="0"/>
        <w:pageBreakBefore w:val="0"/>
        <w:kinsoku/>
        <w:wordWrap/>
        <w:overflowPunct/>
        <w:topLinePunct w:val="0"/>
        <w:bidi w:val="0"/>
        <w:snapToGrid/>
        <w:spacing w:line="480" w:lineRule="exact"/>
        <w:ind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1.</w:t>
      </w:r>
      <w:r>
        <w:rPr>
          <w:rFonts w:hint="eastAsia" w:ascii="宋体" w:hAnsi="宋体" w:eastAsia="宋体" w:cs="宋体"/>
          <w:bCs/>
          <w:color w:val="auto"/>
          <w:kern w:val="0"/>
          <w:sz w:val="24"/>
          <w:szCs w:val="24"/>
          <w:highlight w:val="none"/>
          <w:lang w:val="en-US" w:eastAsia="zh-CN"/>
        </w:rPr>
        <w:t>9</w:t>
      </w:r>
      <w:r>
        <w:rPr>
          <w:rFonts w:hint="eastAsia" w:ascii="宋体" w:hAnsi="宋体" w:eastAsia="宋体" w:cs="宋体"/>
          <w:bCs/>
          <w:color w:val="auto"/>
          <w:kern w:val="0"/>
          <w:sz w:val="24"/>
          <w:szCs w:val="24"/>
          <w:highlight w:val="none"/>
        </w:rPr>
        <w:t>.6因乙方不当服务或服务人员违法，给甲方造成严重不良影响的；</w:t>
      </w:r>
    </w:p>
    <w:p w14:paraId="182DF7C1">
      <w:pPr>
        <w:keepNext w:val="0"/>
        <w:keepLines w:val="0"/>
        <w:pageBreakBefore w:val="0"/>
        <w:kinsoku/>
        <w:wordWrap/>
        <w:overflowPunct/>
        <w:topLinePunct w:val="0"/>
        <w:bidi w:val="0"/>
        <w:snapToGrid/>
        <w:spacing w:line="480" w:lineRule="exact"/>
        <w:ind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1.</w:t>
      </w:r>
      <w:r>
        <w:rPr>
          <w:rFonts w:hint="eastAsia" w:ascii="宋体" w:hAnsi="宋体" w:eastAsia="宋体" w:cs="宋体"/>
          <w:bCs/>
          <w:color w:val="auto"/>
          <w:kern w:val="0"/>
          <w:sz w:val="24"/>
          <w:szCs w:val="24"/>
          <w:highlight w:val="none"/>
          <w:lang w:val="en-US" w:eastAsia="zh-CN"/>
        </w:rPr>
        <w:t>9</w:t>
      </w:r>
      <w:r>
        <w:rPr>
          <w:rFonts w:hint="eastAsia" w:ascii="宋体" w:hAnsi="宋体" w:eastAsia="宋体" w:cs="宋体"/>
          <w:bCs/>
          <w:color w:val="auto"/>
          <w:kern w:val="0"/>
          <w:sz w:val="24"/>
          <w:szCs w:val="24"/>
          <w:highlight w:val="none"/>
        </w:rPr>
        <w:t>.7乙方一年内因生产安全事故受到行政处罚达到3次的，或者因为乙方发生生产安全事故、环境损害事故，给甲方造成重大不良影响的或导致甲方受到行政处罚的。</w:t>
      </w:r>
    </w:p>
    <w:p w14:paraId="506B4D1D">
      <w:pPr>
        <w:keepNext w:val="0"/>
        <w:keepLines w:val="0"/>
        <w:pageBreakBefore w:val="0"/>
        <w:kinsoku/>
        <w:wordWrap/>
        <w:overflowPunct/>
        <w:topLinePunct w:val="0"/>
        <w:bidi w:val="0"/>
        <w:snapToGrid/>
        <w:spacing w:line="480" w:lineRule="exact"/>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1.</w:t>
      </w:r>
      <w:r>
        <w:rPr>
          <w:rFonts w:hint="eastAsia" w:ascii="宋体" w:hAnsi="宋体" w:eastAsia="宋体" w:cs="宋体"/>
          <w:b/>
          <w:bCs/>
          <w:color w:val="auto"/>
          <w:kern w:val="0"/>
          <w:sz w:val="24"/>
          <w:szCs w:val="24"/>
          <w:highlight w:val="none"/>
          <w:lang w:val="en-US" w:eastAsia="zh-CN"/>
        </w:rPr>
        <w:t>10</w:t>
      </w:r>
      <w:r>
        <w:rPr>
          <w:rFonts w:hint="eastAsia" w:ascii="宋体" w:hAnsi="宋体" w:eastAsia="宋体" w:cs="宋体"/>
          <w:b/>
          <w:bCs/>
          <w:color w:val="auto"/>
          <w:kern w:val="0"/>
          <w:sz w:val="24"/>
          <w:szCs w:val="24"/>
          <w:highlight w:val="none"/>
        </w:rPr>
        <w:t>合同争议的解决</w:t>
      </w:r>
      <w:bookmarkEnd w:id="132"/>
      <w:bookmarkEnd w:id="133"/>
      <w:bookmarkEnd w:id="134"/>
      <w:bookmarkEnd w:id="135"/>
      <w:bookmarkEnd w:id="136"/>
    </w:p>
    <w:p w14:paraId="7D08DFFC">
      <w:pPr>
        <w:keepNext w:val="0"/>
        <w:keepLines w:val="0"/>
        <w:pageBreakBefore w:val="0"/>
        <w:kinsoku/>
        <w:wordWrap/>
        <w:overflowPunct/>
        <w:topLinePunct w:val="0"/>
        <w:bidi w:val="0"/>
        <w:snapToGrid/>
        <w:spacing w:line="480" w:lineRule="exact"/>
        <w:ind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本合同履行过程中发生的任何争议，双方当事人均可通过和解或者调解解决；不愿和解、调解或者和解、调解不成的，可以选择下列第</w:t>
      </w:r>
      <w:r>
        <w:rPr>
          <w:rFonts w:hint="eastAsia" w:ascii="宋体" w:hAnsi="宋体" w:eastAsia="宋体" w:cs="宋体"/>
          <w:bCs/>
          <w:color w:val="auto"/>
          <w:kern w:val="0"/>
          <w:sz w:val="24"/>
          <w:szCs w:val="24"/>
          <w:highlight w:val="none"/>
          <w:u w:val="single"/>
        </w:rPr>
        <w:t>1.9.1</w:t>
      </w:r>
      <w:r>
        <w:rPr>
          <w:rFonts w:hint="eastAsia" w:ascii="宋体" w:hAnsi="宋体" w:eastAsia="宋体" w:cs="宋体"/>
          <w:bCs/>
          <w:color w:val="auto"/>
          <w:kern w:val="0"/>
          <w:sz w:val="24"/>
          <w:szCs w:val="24"/>
          <w:highlight w:val="none"/>
        </w:rPr>
        <w:t>种方式解决：</w:t>
      </w:r>
    </w:p>
    <w:p w14:paraId="3B43BB55">
      <w:pPr>
        <w:keepNext w:val="0"/>
        <w:keepLines w:val="0"/>
        <w:pageBreakBefore w:val="0"/>
        <w:kinsoku/>
        <w:wordWrap/>
        <w:overflowPunct/>
        <w:topLinePunct w:val="0"/>
        <w:bidi w:val="0"/>
        <w:snapToGrid/>
        <w:spacing w:line="480" w:lineRule="exact"/>
        <w:ind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1.</w:t>
      </w:r>
      <w:r>
        <w:rPr>
          <w:rFonts w:hint="eastAsia" w:ascii="宋体" w:hAnsi="宋体" w:eastAsia="宋体" w:cs="宋体"/>
          <w:bCs/>
          <w:color w:val="auto"/>
          <w:kern w:val="0"/>
          <w:sz w:val="24"/>
          <w:szCs w:val="24"/>
          <w:highlight w:val="none"/>
          <w:lang w:val="en-US" w:eastAsia="zh-CN"/>
        </w:rPr>
        <w:t>10</w:t>
      </w:r>
      <w:r>
        <w:rPr>
          <w:rFonts w:hint="eastAsia" w:ascii="宋体" w:hAnsi="宋体" w:eastAsia="宋体" w:cs="宋体"/>
          <w:bCs/>
          <w:color w:val="auto"/>
          <w:kern w:val="0"/>
          <w:sz w:val="24"/>
          <w:szCs w:val="24"/>
          <w:highlight w:val="none"/>
        </w:rPr>
        <w:t>.1向</w:t>
      </w:r>
      <w:r>
        <w:rPr>
          <w:rFonts w:hint="eastAsia" w:ascii="宋体" w:hAnsi="宋体" w:eastAsia="宋体" w:cs="宋体"/>
          <w:bCs/>
          <w:color w:val="auto"/>
          <w:kern w:val="0"/>
          <w:sz w:val="24"/>
          <w:szCs w:val="24"/>
          <w:highlight w:val="none"/>
          <w:u w:val="single"/>
        </w:rPr>
        <w:t>（项目所在地、合同履行地、标的物所在地等）</w:t>
      </w:r>
      <w:r>
        <w:rPr>
          <w:rFonts w:hint="eastAsia" w:ascii="宋体" w:hAnsi="宋体" w:eastAsia="宋体" w:cs="宋体"/>
          <w:bCs/>
          <w:color w:val="auto"/>
          <w:kern w:val="0"/>
          <w:sz w:val="24"/>
          <w:szCs w:val="24"/>
          <w:highlight w:val="none"/>
        </w:rPr>
        <w:t>人民法院起诉。</w:t>
      </w:r>
    </w:p>
    <w:p w14:paraId="0A06DC9B">
      <w:pPr>
        <w:keepNext w:val="0"/>
        <w:keepLines w:val="0"/>
        <w:pageBreakBefore w:val="0"/>
        <w:kinsoku/>
        <w:wordWrap/>
        <w:overflowPunct/>
        <w:topLinePunct w:val="0"/>
        <w:bidi w:val="0"/>
        <w:snapToGrid/>
        <w:spacing w:line="480" w:lineRule="exact"/>
        <w:textAlignment w:val="auto"/>
        <w:rPr>
          <w:rFonts w:hint="eastAsia" w:ascii="宋体" w:hAnsi="宋体" w:eastAsia="宋体" w:cs="宋体"/>
          <w:b/>
          <w:bCs/>
          <w:color w:val="auto"/>
          <w:kern w:val="0"/>
          <w:sz w:val="24"/>
          <w:szCs w:val="24"/>
          <w:highlight w:val="none"/>
        </w:rPr>
      </w:pPr>
      <w:bookmarkStart w:id="137" w:name="_Toc26227"/>
      <w:bookmarkStart w:id="138" w:name="_Toc23784"/>
      <w:bookmarkStart w:id="139" w:name="_Toc12273"/>
      <w:bookmarkStart w:id="140" w:name="_Toc15827"/>
      <w:bookmarkStart w:id="141" w:name="_Toc16417"/>
      <w:r>
        <w:rPr>
          <w:rFonts w:hint="eastAsia" w:ascii="宋体" w:hAnsi="宋体" w:eastAsia="宋体" w:cs="宋体"/>
          <w:b/>
          <w:bCs/>
          <w:color w:val="auto"/>
          <w:kern w:val="0"/>
          <w:sz w:val="24"/>
          <w:szCs w:val="24"/>
          <w:highlight w:val="none"/>
        </w:rPr>
        <w:t>1.1</w:t>
      </w:r>
      <w:r>
        <w:rPr>
          <w:rFonts w:hint="eastAsia" w:ascii="宋体" w:hAnsi="宋体" w:eastAsia="宋体" w:cs="宋体"/>
          <w:b/>
          <w:bCs/>
          <w:color w:val="auto"/>
          <w:kern w:val="0"/>
          <w:sz w:val="24"/>
          <w:szCs w:val="24"/>
          <w:highlight w:val="none"/>
          <w:lang w:val="en-US" w:eastAsia="zh-CN"/>
        </w:rPr>
        <w:t>1</w:t>
      </w:r>
      <w:r>
        <w:rPr>
          <w:rFonts w:hint="eastAsia" w:ascii="宋体" w:hAnsi="宋体" w:eastAsia="宋体" w:cs="宋体"/>
          <w:b/>
          <w:bCs/>
          <w:color w:val="auto"/>
          <w:kern w:val="0"/>
          <w:sz w:val="24"/>
          <w:szCs w:val="24"/>
          <w:highlight w:val="none"/>
        </w:rPr>
        <w:t xml:space="preserve"> 合同生效</w:t>
      </w:r>
      <w:bookmarkEnd w:id="137"/>
      <w:bookmarkEnd w:id="138"/>
      <w:bookmarkEnd w:id="139"/>
      <w:bookmarkEnd w:id="140"/>
      <w:bookmarkEnd w:id="141"/>
      <w:r>
        <w:rPr>
          <w:rFonts w:hint="eastAsia" w:ascii="宋体" w:hAnsi="宋体" w:eastAsia="宋体" w:cs="宋体"/>
          <w:b/>
          <w:bCs/>
          <w:color w:val="auto"/>
          <w:kern w:val="0"/>
          <w:sz w:val="24"/>
          <w:szCs w:val="24"/>
          <w:highlight w:val="none"/>
        </w:rPr>
        <w:t>及其他</w:t>
      </w:r>
    </w:p>
    <w:p w14:paraId="0C11B2C6">
      <w:pPr>
        <w:keepNext w:val="0"/>
        <w:keepLines w:val="0"/>
        <w:pageBreakBefore w:val="0"/>
        <w:kinsoku/>
        <w:wordWrap/>
        <w:overflowPunct/>
        <w:topLinePunct w:val="0"/>
        <w:bidi w:val="0"/>
        <w:snapToGrid/>
        <w:spacing w:line="480" w:lineRule="exact"/>
        <w:ind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1.1</w:t>
      </w:r>
      <w:r>
        <w:rPr>
          <w:rFonts w:hint="eastAsia" w:ascii="宋体" w:hAnsi="宋体" w:eastAsia="宋体" w:cs="宋体"/>
          <w:bCs/>
          <w:color w:val="auto"/>
          <w:kern w:val="0"/>
          <w:sz w:val="24"/>
          <w:szCs w:val="24"/>
          <w:highlight w:val="none"/>
          <w:lang w:val="en-US" w:eastAsia="zh-CN"/>
        </w:rPr>
        <w:t>1</w:t>
      </w:r>
      <w:r>
        <w:rPr>
          <w:rFonts w:hint="eastAsia" w:ascii="宋体" w:hAnsi="宋体" w:eastAsia="宋体" w:cs="宋体"/>
          <w:bCs/>
          <w:color w:val="auto"/>
          <w:kern w:val="0"/>
          <w:sz w:val="24"/>
          <w:szCs w:val="24"/>
          <w:highlight w:val="none"/>
        </w:rPr>
        <w:t>.1合同应在甲乙双方代表签字并加盖公章后生效。</w:t>
      </w:r>
    </w:p>
    <w:p w14:paraId="4DB7C002">
      <w:pPr>
        <w:keepNext w:val="0"/>
        <w:keepLines w:val="0"/>
        <w:pageBreakBefore w:val="0"/>
        <w:kinsoku/>
        <w:wordWrap/>
        <w:overflowPunct/>
        <w:topLinePunct w:val="0"/>
        <w:bidi w:val="0"/>
        <w:snapToGrid/>
        <w:spacing w:line="480" w:lineRule="exact"/>
        <w:ind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1.1</w:t>
      </w:r>
      <w:r>
        <w:rPr>
          <w:rFonts w:hint="eastAsia" w:ascii="宋体" w:hAnsi="宋体" w:eastAsia="宋体" w:cs="宋体"/>
          <w:bCs/>
          <w:color w:val="auto"/>
          <w:kern w:val="0"/>
          <w:sz w:val="24"/>
          <w:szCs w:val="24"/>
          <w:highlight w:val="none"/>
          <w:lang w:val="en-US" w:eastAsia="zh-CN"/>
        </w:rPr>
        <w:t>1</w:t>
      </w:r>
      <w:r>
        <w:rPr>
          <w:rFonts w:hint="eastAsia" w:ascii="宋体" w:hAnsi="宋体" w:eastAsia="宋体" w:cs="宋体"/>
          <w:bCs/>
          <w:color w:val="auto"/>
          <w:kern w:val="0"/>
          <w:sz w:val="24"/>
          <w:szCs w:val="24"/>
          <w:highlight w:val="none"/>
        </w:rPr>
        <w:t>.2本合同一式五份，以简体中文书写，甲方两份、乙方两份、涵熙（苏州）工程顾问有限公司一份。</w:t>
      </w:r>
    </w:p>
    <w:p w14:paraId="343B556D">
      <w:pPr>
        <w:keepNext w:val="0"/>
        <w:keepLines w:val="0"/>
        <w:pageBreakBefore w:val="0"/>
        <w:kinsoku/>
        <w:wordWrap/>
        <w:overflowPunct/>
        <w:topLinePunct w:val="0"/>
        <w:bidi w:val="0"/>
        <w:snapToGrid/>
        <w:spacing w:line="480" w:lineRule="exact"/>
        <w:ind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1.1</w:t>
      </w:r>
      <w:r>
        <w:rPr>
          <w:rFonts w:hint="eastAsia" w:ascii="宋体" w:hAnsi="宋体" w:eastAsia="宋体" w:cs="宋体"/>
          <w:bCs/>
          <w:color w:val="auto"/>
          <w:kern w:val="0"/>
          <w:sz w:val="24"/>
          <w:szCs w:val="24"/>
          <w:highlight w:val="none"/>
          <w:lang w:val="en-US" w:eastAsia="zh-CN"/>
        </w:rPr>
        <w:t>1</w:t>
      </w:r>
      <w:r>
        <w:rPr>
          <w:rFonts w:hint="eastAsia" w:ascii="宋体" w:hAnsi="宋体" w:eastAsia="宋体" w:cs="宋体"/>
          <w:bCs/>
          <w:color w:val="auto"/>
          <w:kern w:val="0"/>
          <w:sz w:val="24"/>
          <w:szCs w:val="24"/>
          <w:highlight w:val="none"/>
        </w:rPr>
        <w:t>.3本合同应按照中华人民共和国的现行法律进行解释。</w:t>
      </w:r>
      <w:bookmarkStart w:id="142" w:name="_Toc331685783"/>
    </w:p>
    <w:p w14:paraId="66C6E67E">
      <w:pPr>
        <w:keepNext w:val="0"/>
        <w:keepLines w:val="0"/>
        <w:pageBreakBefore w:val="0"/>
        <w:kinsoku/>
        <w:wordWrap/>
        <w:overflowPunct/>
        <w:topLinePunct w:val="0"/>
        <w:autoSpaceDE w:val="0"/>
        <w:autoSpaceDN w:val="0"/>
        <w:bidi w:val="0"/>
        <w:adjustRightInd w:val="0"/>
        <w:snapToGrid/>
        <w:spacing w:line="480" w:lineRule="exact"/>
        <w:ind w:firstLine="200"/>
        <w:jc w:val="center"/>
        <w:textAlignment w:val="auto"/>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第二部分 合同一般条款</w:t>
      </w:r>
      <w:bookmarkEnd w:id="142"/>
    </w:p>
    <w:p w14:paraId="45438948">
      <w:pPr>
        <w:keepNext w:val="0"/>
        <w:keepLines w:val="0"/>
        <w:pageBreakBefore w:val="0"/>
        <w:kinsoku/>
        <w:wordWrap/>
        <w:overflowPunct/>
        <w:topLinePunct w:val="0"/>
        <w:bidi w:val="0"/>
        <w:snapToGrid/>
        <w:spacing w:line="480" w:lineRule="exact"/>
        <w:textAlignment w:val="auto"/>
        <w:rPr>
          <w:rFonts w:hint="eastAsia" w:ascii="宋体" w:hAnsi="宋体" w:eastAsia="宋体" w:cs="宋体"/>
          <w:b/>
          <w:bCs/>
          <w:color w:val="auto"/>
          <w:kern w:val="0"/>
          <w:sz w:val="24"/>
          <w:szCs w:val="24"/>
          <w:highlight w:val="none"/>
        </w:rPr>
      </w:pPr>
      <w:bookmarkStart w:id="143" w:name="_Ref467378499"/>
      <w:bookmarkStart w:id="144" w:name="_Ref467379195"/>
      <w:bookmarkStart w:id="145" w:name="_Toc259093669"/>
      <w:bookmarkStart w:id="146" w:name="_Ref467378463"/>
      <w:bookmarkStart w:id="147" w:name="_Ref467379094"/>
      <w:bookmarkStart w:id="148" w:name="_Ref467379109"/>
      <w:bookmarkStart w:id="149" w:name="_Toc19680"/>
      <w:bookmarkStart w:id="150" w:name="_Ref467379214"/>
      <w:bookmarkStart w:id="151" w:name="_Toc31297"/>
      <w:bookmarkStart w:id="152" w:name="_Ref467378404"/>
      <w:bookmarkStart w:id="153" w:name="_Toc279701240"/>
      <w:bookmarkStart w:id="154" w:name="_Toc487900349"/>
      <w:bookmarkStart w:id="155" w:name="_Ref467379225"/>
      <w:bookmarkStart w:id="156" w:name="_Toc5228"/>
      <w:bookmarkStart w:id="157" w:name="_Ref467379205"/>
      <w:bookmarkStart w:id="158" w:name="_Toc25079"/>
      <w:bookmarkStart w:id="159" w:name="_Toc14021"/>
      <w:bookmarkStart w:id="160" w:name="_Ref467379101"/>
      <w:r>
        <w:rPr>
          <w:rFonts w:hint="eastAsia" w:ascii="宋体" w:hAnsi="宋体" w:eastAsia="宋体" w:cs="宋体"/>
          <w:b/>
          <w:bCs/>
          <w:color w:val="auto"/>
          <w:kern w:val="0"/>
          <w:sz w:val="24"/>
          <w:szCs w:val="24"/>
          <w:highlight w:val="none"/>
        </w:rPr>
        <w:t>2.1 定义</w:t>
      </w:r>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p>
    <w:p w14:paraId="2E1B4AA8">
      <w:pPr>
        <w:keepNext w:val="0"/>
        <w:keepLines w:val="0"/>
        <w:pageBreakBefore w:val="0"/>
        <w:kinsoku/>
        <w:wordWrap/>
        <w:overflowPunct/>
        <w:topLinePunct w:val="0"/>
        <w:bidi w:val="0"/>
        <w:snapToGrid/>
        <w:spacing w:line="480" w:lineRule="exact"/>
        <w:ind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本合同中的下列词语应按以下内容进行解释：</w:t>
      </w:r>
    </w:p>
    <w:p w14:paraId="68C0B255">
      <w:pPr>
        <w:keepNext w:val="0"/>
        <w:keepLines w:val="0"/>
        <w:pageBreakBefore w:val="0"/>
        <w:kinsoku/>
        <w:wordWrap/>
        <w:overflowPunct/>
        <w:topLinePunct w:val="0"/>
        <w:bidi w:val="0"/>
        <w:snapToGrid/>
        <w:spacing w:line="480" w:lineRule="exact"/>
        <w:ind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2.1.1“合同”系指采购人和中标人签订的载明双方当事人所达成的协议，并包括所有的附件、附录和构成合同的其他文件。</w:t>
      </w:r>
    </w:p>
    <w:p w14:paraId="75D0AF4C">
      <w:pPr>
        <w:keepNext w:val="0"/>
        <w:keepLines w:val="0"/>
        <w:pageBreakBefore w:val="0"/>
        <w:kinsoku/>
        <w:wordWrap/>
        <w:overflowPunct/>
        <w:topLinePunct w:val="0"/>
        <w:bidi w:val="0"/>
        <w:snapToGrid/>
        <w:spacing w:line="480" w:lineRule="exact"/>
        <w:ind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2.1.2“合同价”系指根据合同约定，中标人在完全履行合同义务后，采购人应支付给中标人的价格。</w:t>
      </w:r>
    </w:p>
    <w:p w14:paraId="62406095">
      <w:pPr>
        <w:keepNext w:val="0"/>
        <w:keepLines w:val="0"/>
        <w:pageBreakBefore w:val="0"/>
        <w:kinsoku/>
        <w:wordWrap/>
        <w:overflowPunct/>
        <w:topLinePunct w:val="0"/>
        <w:bidi w:val="0"/>
        <w:snapToGrid/>
        <w:spacing w:line="480" w:lineRule="exact"/>
        <w:ind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2.1.3“服务”系指中标人根据合同约定应向采购人履行的除货物和工程以外的其他政府采购对象，包括采购人自身需要的服务和向社会公众提供的公共服务。</w:t>
      </w:r>
    </w:p>
    <w:p w14:paraId="4429C142">
      <w:pPr>
        <w:keepNext w:val="0"/>
        <w:keepLines w:val="0"/>
        <w:pageBreakBefore w:val="0"/>
        <w:kinsoku/>
        <w:wordWrap/>
        <w:overflowPunct/>
        <w:topLinePunct w:val="0"/>
        <w:bidi w:val="0"/>
        <w:snapToGrid/>
        <w:spacing w:line="480" w:lineRule="exact"/>
        <w:ind w:firstLine="480" w:firstLineChars="200"/>
        <w:textAlignment w:val="auto"/>
        <w:rPr>
          <w:rFonts w:hint="eastAsia" w:ascii="宋体" w:hAnsi="宋体" w:eastAsia="宋体" w:cs="宋体"/>
          <w:bCs/>
          <w:color w:val="auto"/>
          <w:kern w:val="0"/>
          <w:sz w:val="24"/>
          <w:szCs w:val="24"/>
          <w:highlight w:val="none"/>
        </w:rPr>
      </w:pPr>
      <w:bookmarkStart w:id="161" w:name="_Ref467378840"/>
      <w:r>
        <w:rPr>
          <w:rFonts w:hint="eastAsia" w:ascii="宋体" w:hAnsi="宋体" w:eastAsia="宋体" w:cs="宋体"/>
          <w:bCs/>
          <w:color w:val="auto"/>
          <w:kern w:val="0"/>
          <w:sz w:val="24"/>
          <w:szCs w:val="24"/>
          <w:highlight w:val="none"/>
        </w:rPr>
        <w:t>2.1.4“甲方”系指与中标人签署合同的采购人</w:t>
      </w:r>
      <w:bookmarkEnd w:id="161"/>
      <w:r>
        <w:rPr>
          <w:rFonts w:hint="eastAsia" w:ascii="宋体" w:hAnsi="宋体" w:eastAsia="宋体" w:cs="宋体"/>
          <w:bCs/>
          <w:color w:val="auto"/>
          <w:kern w:val="0"/>
          <w:sz w:val="24"/>
          <w:szCs w:val="24"/>
          <w:highlight w:val="none"/>
        </w:rPr>
        <w:t>；采购人委托采购代理机构代表其与乙方签订合同的，采购人的授权委托书作为合同附件。</w:t>
      </w:r>
    </w:p>
    <w:p w14:paraId="4CC6EF8F">
      <w:pPr>
        <w:keepNext w:val="0"/>
        <w:keepLines w:val="0"/>
        <w:pageBreakBefore w:val="0"/>
        <w:kinsoku/>
        <w:wordWrap/>
        <w:overflowPunct/>
        <w:topLinePunct w:val="0"/>
        <w:bidi w:val="0"/>
        <w:snapToGrid/>
        <w:spacing w:line="480" w:lineRule="exact"/>
        <w:ind w:firstLine="480" w:firstLineChars="200"/>
        <w:textAlignment w:val="auto"/>
        <w:rPr>
          <w:rFonts w:hint="eastAsia" w:ascii="宋体" w:hAnsi="宋体" w:eastAsia="宋体" w:cs="宋体"/>
          <w:bCs/>
          <w:color w:val="auto"/>
          <w:kern w:val="0"/>
          <w:sz w:val="24"/>
          <w:szCs w:val="24"/>
          <w:highlight w:val="none"/>
        </w:rPr>
      </w:pPr>
      <w:bookmarkStart w:id="162" w:name="_Ref467379400"/>
      <w:r>
        <w:rPr>
          <w:rFonts w:hint="eastAsia" w:ascii="宋体" w:hAnsi="宋体" w:eastAsia="宋体" w:cs="宋体"/>
          <w:bCs/>
          <w:color w:val="auto"/>
          <w:kern w:val="0"/>
          <w:sz w:val="24"/>
          <w:szCs w:val="24"/>
          <w:highlight w:val="none"/>
        </w:rPr>
        <w:t>2.1.5“乙方”系指根据合同约定提供服务的</w:t>
      </w:r>
      <w:bookmarkEnd w:id="162"/>
      <w:r>
        <w:rPr>
          <w:rFonts w:hint="eastAsia" w:ascii="宋体" w:hAnsi="宋体" w:eastAsia="宋体" w:cs="宋体"/>
          <w:bCs/>
          <w:color w:val="auto"/>
          <w:kern w:val="0"/>
          <w:sz w:val="24"/>
          <w:szCs w:val="24"/>
          <w:highlight w:val="none"/>
        </w:rPr>
        <w:t>中标人。</w:t>
      </w:r>
      <w:bookmarkStart w:id="163" w:name="_Ref467379436"/>
    </w:p>
    <w:p w14:paraId="4D670934">
      <w:pPr>
        <w:keepNext w:val="0"/>
        <w:keepLines w:val="0"/>
        <w:pageBreakBefore w:val="0"/>
        <w:kinsoku/>
        <w:wordWrap/>
        <w:overflowPunct/>
        <w:topLinePunct w:val="0"/>
        <w:bidi w:val="0"/>
        <w:snapToGrid/>
        <w:spacing w:line="480" w:lineRule="exact"/>
        <w:ind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2.1.6“现场”系指合同约定提供服务的地点。</w:t>
      </w:r>
      <w:bookmarkEnd w:id="163"/>
    </w:p>
    <w:p w14:paraId="236A4437">
      <w:pPr>
        <w:keepNext w:val="0"/>
        <w:keepLines w:val="0"/>
        <w:pageBreakBefore w:val="0"/>
        <w:kinsoku/>
        <w:wordWrap/>
        <w:overflowPunct/>
        <w:topLinePunct w:val="0"/>
        <w:bidi w:val="0"/>
        <w:snapToGrid/>
        <w:spacing w:line="480" w:lineRule="exact"/>
        <w:textAlignment w:val="auto"/>
        <w:rPr>
          <w:rFonts w:hint="eastAsia" w:ascii="宋体" w:hAnsi="宋体" w:eastAsia="宋体" w:cs="宋体"/>
          <w:b/>
          <w:bCs/>
          <w:color w:val="auto"/>
          <w:kern w:val="0"/>
          <w:sz w:val="24"/>
          <w:szCs w:val="24"/>
          <w:highlight w:val="none"/>
        </w:rPr>
      </w:pPr>
      <w:bookmarkStart w:id="164" w:name="_Toc259093670"/>
      <w:bookmarkStart w:id="165" w:name="_Toc487900350"/>
      <w:bookmarkStart w:id="166" w:name="_Toc19539"/>
      <w:bookmarkStart w:id="167" w:name="_Toc31402"/>
      <w:bookmarkStart w:id="168" w:name="_Toc16752"/>
      <w:bookmarkStart w:id="169" w:name="_Toc3769"/>
      <w:bookmarkStart w:id="170" w:name="_Toc23289"/>
      <w:bookmarkStart w:id="171" w:name="_Toc279701241"/>
      <w:r>
        <w:rPr>
          <w:rFonts w:hint="eastAsia" w:ascii="宋体" w:hAnsi="宋体" w:eastAsia="宋体" w:cs="宋体"/>
          <w:b/>
          <w:bCs/>
          <w:color w:val="auto"/>
          <w:kern w:val="0"/>
          <w:sz w:val="24"/>
          <w:szCs w:val="24"/>
          <w:highlight w:val="none"/>
        </w:rPr>
        <w:t>2.2 技术规范</w:t>
      </w:r>
      <w:bookmarkEnd w:id="164"/>
      <w:bookmarkEnd w:id="165"/>
      <w:bookmarkEnd w:id="166"/>
      <w:bookmarkEnd w:id="167"/>
      <w:bookmarkEnd w:id="168"/>
      <w:bookmarkEnd w:id="169"/>
      <w:bookmarkEnd w:id="170"/>
      <w:bookmarkEnd w:id="171"/>
    </w:p>
    <w:p w14:paraId="4A887F14">
      <w:pPr>
        <w:keepNext w:val="0"/>
        <w:keepLines w:val="0"/>
        <w:pageBreakBefore w:val="0"/>
        <w:kinsoku/>
        <w:wordWrap/>
        <w:overflowPunct/>
        <w:topLinePunct w:val="0"/>
        <w:bidi w:val="0"/>
        <w:snapToGrid/>
        <w:spacing w:line="480" w:lineRule="exact"/>
        <w:ind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lang w:val="en-US" w:eastAsia="zh-CN"/>
        </w:rPr>
        <w:t>2.2.1</w:t>
      </w:r>
      <w:r>
        <w:rPr>
          <w:rFonts w:hint="eastAsia" w:ascii="宋体" w:hAnsi="宋体" w:eastAsia="宋体" w:cs="宋体"/>
          <w:bCs/>
          <w:color w:val="auto"/>
          <w:kern w:val="0"/>
          <w:sz w:val="24"/>
          <w:szCs w:val="24"/>
          <w:highlight w:val="none"/>
        </w:rPr>
        <w:t>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p>
    <w:p w14:paraId="6E9C285E">
      <w:pPr>
        <w:keepNext w:val="0"/>
        <w:keepLines w:val="0"/>
        <w:pageBreakBefore w:val="0"/>
        <w:kinsoku/>
        <w:wordWrap/>
        <w:overflowPunct/>
        <w:topLinePunct w:val="0"/>
        <w:bidi w:val="0"/>
        <w:snapToGrid/>
        <w:spacing w:line="480" w:lineRule="exact"/>
        <w:textAlignment w:val="auto"/>
        <w:rPr>
          <w:rFonts w:hint="eastAsia" w:ascii="宋体" w:hAnsi="宋体" w:eastAsia="宋体" w:cs="宋体"/>
          <w:b/>
          <w:bCs/>
          <w:color w:val="auto"/>
          <w:kern w:val="0"/>
          <w:sz w:val="24"/>
          <w:szCs w:val="24"/>
          <w:highlight w:val="none"/>
        </w:rPr>
      </w:pPr>
      <w:bookmarkStart w:id="172" w:name="_Toc487900351"/>
      <w:bookmarkStart w:id="173" w:name="_Toc4133"/>
      <w:bookmarkStart w:id="174" w:name="_Toc279701242"/>
      <w:bookmarkStart w:id="175" w:name="_Toc13673"/>
      <w:bookmarkStart w:id="176" w:name="_Toc259093671"/>
      <w:bookmarkStart w:id="177" w:name="_Toc27945"/>
      <w:bookmarkStart w:id="178" w:name="_Toc9161"/>
      <w:bookmarkStart w:id="179" w:name="_Toc12412"/>
      <w:r>
        <w:rPr>
          <w:rFonts w:hint="eastAsia" w:ascii="宋体" w:hAnsi="宋体" w:eastAsia="宋体" w:cs="宋体"/>
          <w:b/>
          <w:bCs/>
          <w:color w:val="auto"/>
          <w:kern w:val="0"/>
          <w:sz w:val="24"/>
          <w:szCs w:val="24"/>
          <w:highlight w:val="none"/>
        </w:rPr>
        <w:t>2.3 知识产权</w:t>
      </w:r>
      <w:bookmarkEnd w:id="172"/>
      <w:bookmarkEnd w:id="173"/>
      <w:bookmarkEnd w:id="174"/>
      <w:bookmarkEnd w:id="175"/>
      <w:bookmarkEnd w:id="176"/>
      <w:bookmarkEnd w:id="177"/>
      <w:bookmarkEnd w:id="178"/>
      <w:bookmarkEnd w:id="179"/>
    </w:p>
    <w:p w14:paraId="5B50DD50">
      <w:pPr>
        <w:keepNext w:val="0"/>
        <w:keepLines w:val="0"/>
        <w:pageBreakBefore w:val="0"/>
        <w:kinsoku/>
        <w:wordWrap/>
        <w:overflowPunct/>
        <w:topLinePunct w:val="0"/>
        <w:bidi w:val="0"/>
        <w:snapToGrid/>
        <w:spacing w:line="480" w:lineRule="exact"/>
        <w:ind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2.3.1乙方应保证其提供的服务不受任何第三方提出的侵犯其著作权、商标权、专利权等知识产权方面的起诉；如果任何第三方提出侵权指控，那么乙方须与该第三方交涉并承担由此发生的一切责任、费用和赔偿。</w:t>
      </w:r>
    </w:p>
    <w:p w14:paraId="54A0A7D6">
      <w:pPr>
        <w:keepNext w:val="0"/>
        <w:keepLines w:val="0"/>
        <w:pageBreakBefore w:val="0"/>
        <w:kinsoku/>
        <w:wordWrap/>
        <w:overflowPunct/>
        <w:topLinePunct w:val="0"/>
        <w:bidi w:val="0"/>
        <w:snapToGrid/>
        <w:spacing w:line="480" w:lineRule="exact"/>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2.4 履约检查和问题反馈</w:t>
      </w:r>
    </w:p>
    <w:p w14:paraId="5D033060">
      <w:pPr>
        <w:keepNext w:val="0"/>
        <w:keepLines w:val="0"/>
        <w:pageBreakBefore w:val="0"/>
        <w:kinsoku/>
        <w:wordWrap/>
        <w:overflowPunct/>
        <w:topLinePunct w:val="0"/>
        <w:bidi w:val="0"/>
        <w:snapToGrid/>
        <w:spacing w:line="480" w:lineRule="exact"/>
        <w:ind w:firstLine="480" w:firstLineChars="200"/>
        <w:textAlignment w:val="auto"/>
        <w:rPr>
          <w:rFonts w:hint="eastAsia" w:ascii="宋体" w:hAnsi="宋体" w:eastAsia="宋体" w:cs="宋体"/>
          <w:bCs/>
          <w:color w:val="auto"/>
          <w:kern w:val="0"/>
          <w:sz w:val="24"/>
          <w:szCs w:val="24"/>
          <w:highlight w:val="none"/>
        </w:rPr>
      </w:pPr>
      <w:bookmarkStart w:id="180" w:name="_Toc186431854"/>
      <w:bookmarkStart w:id="181" w:name="_Ref467379793"/>
      <w:bookmarkStart w:id="182" w:name="_Toc487900357"/>
      <w:bookmarkStart w:id="183" w:name="_Ref467379807"/>
      <w:bookmarkStart w:id="184" w:name="_Toc279701247"/>
      <w:bookmarkStart w:id="185" w:name="_Toc259093676"/>
      <w:r>
        <w:rPr>
          <w:rFonts w:hint="eastAsia" w:ascii="宋体" w:hAnsi="宋体" w:eastAsia="宋体" w:cs="宋体"/>
          <w:bCs/>
          <w:color w:val="auto"/>
          <w:kern w:val="0"/>
          <w:sz w:val="24"/>
          <w:szCs w:val="24"/>
          <w:highlight w:val="none"/>
        </w:rPr>
        <w:t>2.4.1甲方有权在其认为必要时，对乙方是否能够按照合同约定提供服务进行履约检查，以确保乙方所提供的服务能够依约满足甲方之项目需求，但不得因履约检查妨碍乙方的正常工作，乙方应予积极配合。</w:t>
      </w:r>
    </w:p>
    <w:p w14:paraId="65D8E100">
      <w:pPr>
        <w:keepNext w:val="0"/>
        <w:keepLines w:val="0"/>
        <w:pageBreakBefore w:val="0"/>
        <w:kinsoku/>
        <w:wordWrap/>
        <w:overflowPunct/>
        <w:topLinePunct w:val="0"/>
        <w:bidi w:val="0"/>
        <w:snapToGrid/>
        <w:spacing w:line="480" w:lineRule="exact"/>
        <w:ind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2.4.2合同履行期间，甲方有权将履行过程中出现的问题反馈给乙方，双方当事人应以书面形式约定需要完善和改进的内容</w:t>
      </w:r>
      <w:bookmarkEnd w:id="180"/>
      <w:bookmarkStart w:id="186" w:name="_Toc186431855"/>
      <w:r>
        <w:rPr>
          <w:rFonts w:hint="eastAsia" w:ascii="宋体" w:hAnsi="宋体" w:eastAsia="宋体" w:cs="宋体"/>
          <w:bCs/>
          <w:color w:val="auto"/>
          <w:kern w:val="0"/>
          <w:sz w:val="24"/>
          <w:szCs w:val="24"/>
          <w:highlight w:val="none"/>
        </w:rPr>
        <w:t>。</w:t>
      </w:r>
    </w:p>
    <w:bookmarkEnd w:id="181"/>
    <w:bookmarkEnd w:id="182"/>
    <w:bookmarkEnd w:id="183"/>
    <w:bookmarkEnd w:id="184"/>
    <w:bookmarkEnd w:id="185"/>
    <w:bookmarkEnd w:id="186"/>
    <w:p w14:paraId="61B76115">
      <w:pPr>
        <w:keepNext w:val="0"/>
        <w:keepLines w:val="0"/>
        <w:pageBreakBefore w:val="0"/>
        <w:kinsoku/>
        <w:wordWrap/>
        <w:overflowPunct/>
        <w:topLinePunct w:val="0"/>
        <w:bidi w:val="0"/>
        <w:snapToGrid/>
        <w:spacing w:line="480" w:lineRule="exact"/>
        <w:textAlignment w:val="auto"/>
        <w:rPr>
          <w:rFonts w:hint="eastAsia" w:ascii="宋体" w:hAnsi="宋体" w:eastAsia="宋体" w:cs="宋体"/>
          <w:b/>
          <w:bCs/>
          <w:color w:val="auto"/>
          <w:kern w:val="0"/>
          <w:sz w:val="24"/>
          <w:szCs w:val="24"/>
          <w:highlight w:val="none"/>
        </w:rPr>
      </w:pPr>
      <w:bookmarkStart w:id="187" w:name="_Toc259093677"/>
      <w:bookmarkStart w:id="188" w:name="_Toc487900358"/>
      <w:bookmarkStart w:id="189" w:name="_Toc279701248"/>
      <w:bookmarkStart w:id="190" w:name="_Ref467379923"/>
      <w:bookmarkStart w:id="191" w:name="_Ref467379852"/>
      <w:bookmarkStart w:id="192" w:name="_Ref467379863"/>
      <w:bookmarkStart w:id="193" w:name="_Toc18990"/>
      <w:bookmarkStart w:id="194" w:name="_Toc16163"/>
      <w:bookmarkStart w:id="195" w:name="_Toc13154"/>
      <w:bookmarkStart w:id="196" w:name="_Toc13467"/>
      <w:bookmarkStart w:id="197" w:name="_Toc30507"/>
      <w:r>
        <w:rPr>
          <w:rFonts w:hint="eastAsia" w:ascii="宋体" w:hAnsi="宋体" w:eastAsia="宋体" w:cs="宋体"/>
          <w:b/>
          <w:bCs/>
          <w:color w:val="auto"/>
          <w:kern w:val="0"/>
          <w:sz w:val="24"/>
          <w:szCs w:val="24"/>
          <w:highlight w:val="none"/>
        </w:rPr>
        <w:t>2.5 技术资料</w:t>
      </w:r>
      <w:bookmarkEnd w:id="187"/>
      <w:bookmarkEnd w:id="188"/>
      <w:bookmarkEnd w:id="189"/>
      <w:bookmarkEnd w:id="190"/>
      <w:bookmarkEnd w:id="191"/>
      <w:bookmarkEnd w:id="192"/>
      <w:r>
        <w:rPr>
          <w:rFonts w:hint="eastAsia" w:ascii="宋体" w:hAnsi="宋体" w:eastAsia="宋体" w:cs="宋体"/>
          <w:b/>
          <w:bCs/>
          <w:color w:val="auto"/>
          <w:kern w:val="0"/>
          <w:sz w:val="24"/>
          <w:szCs w:val="24"/>
          <w:highlight w:val="none"/>
        </w:rPr>
        <w:t>和保密义务</w:t>
      </w:r>
      <w:bookmarkEnd w:id="193"/>
      <w:bookmarkEnd w:id="194"/>
      <w:bookmarkEnd w:id="195"/>
      <w:bookmarkEnd w:id="196"/>
      <w:bookmarkEnd w:id="197"/>
    </w:p>
    <w:p w14:paraId="2F33A287">
      <w:pPr>
        <w:keepNext w:val="0"/>
        <w:keepLines w:val="0"/>
        <w:pageBreakBefore w:val="0"/>
        <w:kinsoku/>
        <w:wordWrap/>
        <w:overflowPunct/>
        <w:topLinePunct w:val="0"/>
        <w:bidi w:val="0"/>
        <w:snapToGrid/>
        <w:spacing w:line="480" w:lineRule="exact"/>
        <w:ind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2.5.1乙方有权依据合同约定和项目需要，向甲方了解有关情况，调阅有关资料等，甲方应予积极配合。</w:t>
      </w:r>
    </w:p>
    <w:p w14:paraId="4CE683A5">
      <w:pPr>
        <w:keepNext w:val="0"/>
        <w:keepLines w:val="0"/>
        <w:pageBreakBefore w:val="0"/>
        <w:kinsoku/>
        <w:wordWrap/>
        <w:overflowPunct/>
        <w:topLinePunct w:val="0"/>
        <w:bidi w:val="0"/>
        <w:snapToGrid/>
        <w:spacing w:line="480" w:lineRule="exact"/>
        <w:ind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2.5.2乙方有义务妥善保管和保护由甲方提供的前款信息和资料等。</w:t>
      </w:r>
    </w:p>
    <w:p w14:paraId="1213F1AD">
      <w:pPr>
        <w:keepNext w:val="0"/>
        <w:keepLines w:val="0"/>
        <w:pageBreakBefore w:val="0"/>
        <w:kinsoku/>
        <w:wordWrap/>
        <w:overflowPunct/>
        <w:topLinePunct w:val="0"/>
        <w:bidi w:val="0"/>
        <w:snapToGrid/>
        <w:spacing w:line="480" w:lineRule="exact"/>
        <w:ind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2.5.3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p>
    <w:p w14:paraId="127675EF">
      <w:pPr>
        <w:keepNext w:val="0"/>
        <w:keepLines w:val="0"/>
        <w:pageBreakBefore w:val="0"/>
        <w:kinsoku/>
        <w:wordWrap/>
        <w:overflowPunct/>
        <w:topLinePunct w:val="0"/>
        <w:bidi w:val="0"/>
        <w:snapToGrid/>
        <w:spacing w:line="480" w:lineRule="exact"/>
        <w:textAlignment w:val="auto"/>
        <w:rPr>
          <w:rFonts w:hint="eastAsia" w:ascii="宋体" w:hAnsi="宋体" w:eastAsia="宋体" w:cs="宋体"/>
          <w:b/>
          <w:bCs/>
          <w:color w:val="auto"/>
          <w:kern w:val="0"/>
          <w:sz w:val="24"/>
          <w:szCs w:val="24"/>
          <w:highlight w:val="none"/>
        </w:rPr>
      </w:pPr>
      <w:bookmarkStart w:id="198" w:name="_Toc19069"/>
      <w:bookmarkStart w:id="199" w:name="_Toc279701252"/>
      <w:bookmarkStart w:id="200" w:name="_Toc259093681"/>
      <w:bookmarkStart w:id="201" w:name="_Toc487900362"/>
      <w:r>
        <w:rPr>
          <w:rFonts w:hint="eastAsia" w:ascii="宋体" w:hAnsi="宋体" w:eastAsia="宋体" w:cs="宋体"/>
          <w:b/>
          <w:bCs/>
          <w:color w:val="auto"/>
          <w:kern w:val="0"/>
          <w:sz w:val="24"/>
          <w:szCs w:val="24"/>
          <w:highlight w:val="none"/>
        </w:rPr>
        <w:t>2.6 质量保证</w:t>
      </w:r>
      <w:bookmarkEnd w:id="198"/>
    </w:p>
    <w:p w14:paraId="496E8F2A">
      <w:pPr>
        <w:keepNext w:val="0"/>
        <w:keepLines w:val="0"/>
        <w:pageBreakBefore w:val="0"/>
        <w:kinsoku/>
        <w:wordWrap/>
        <w:overflowPunct/>
        <w:topLinePunct w:val="0"/>
        <w:bidi w:val="0"/>
        <w:snapToGrid/>
        <w:spacing w:line="480" w:lineRule="exact"/>
        <w:ind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2.6.1乙方应建立和完善履行合同的内部质量保证体系，并提供相关内部规章制度给甲方，以便甲方进行监督检查</w:t>
      </w:r>
      <w:r>
        <w:rPr>
          <w:rFonts w:hint="eastAsia" w:ascii="宋体" w:hAnsi="宋体" w:eastAsia="宋体" w:cs="宋体"/>
          <w:bCs/>
          <w:color w:val="auto"/>
          <w:kern w:val="0"/>
          <w:sz w:val="24"/>
          <w:szCs w:val="24"/>
          <w:highlight w:val="none"/>
          <w:lang w:eastAsia="zh-CN"/>
        </w:rPr>
        <w:t>。</w:t>
      </w:r>
    </w:p>
    <w:p w14:paraId="1E31AB15">
      <w:pPr>
        <w:keepNext w:val="0"/>
        <w:keepLines w:val="0"/>
        <w:pageBreakBefore w:val="0"/>
        <w:kinsoku/>
        <w:wordWrap/>
        <w:overflowPunct/>
        <w:topLinePunct w:val="0"/>
        <w:bidi w:val="0"/>
        <w:snapToGrid/>
        <w:spacing w:line="480" w:lineRule="exact"/>
        <w:ind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2.6.2乙方应保证履行合同的人员数量和素质、软件和硬件设备的配置、场地、环境和设施等满足全面履行合同的要求，并应接受甲方的监督检查。</w:t>
      </w:r>
    </w:p>
    <w:p w14:paraId="4DC79DA9">
      <w:pPr>
        <w:keepNext w:val="0"/>
        <w:keepLines w:val="0"/>
        <w:pageBreakBefore w:val="0"/>
        <w:kinsoku/>
        <w:wordWrap/>
        <w:overflowPunct/>
        <w:topLinePunct w:val="0"/>
        <w:bidi w:val="0"/>
        <w:snapToGrid/>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Cs/>
          <w:color w:val="auto"/>
          <w:kern w:val="0"/>
          <w:sz w:val="24"/>
          <w:szCs w:val="24"/>
          <w:highlight w:val="none"/>
        </w:rPr>
        <w:t>2.6.3其他</w:t>
      </w:r>
      <w:r>
        <w:rPr>
          <w:rFonts w:hint="eastAsia" w:ascii="宋体" w:hAnsi="宋体" w:eastAsia="宋体" w:cs="宋体"/>
          <w:color w:val="auto"/>
          <w:sz w:val="24"/>
          <w:szCs w:val="24"/>
          <w:highlight w:val="none"/>
        </w:rPr>
        <w:t>各项服务承诺指标及所采取的措施符合“投标文件”要求及投标响应承诺。</w:t>
      </w:r>
    </w:p>
    <w:p w14:paraId="0CBACBEB">
      <w:pPr>
        <w:keepNext w:val="0"/>
        <w:keepLines w:val="0"/>
        <w:pageBreakBefore w:val="0"/>
        <w:kinsoku/>
        <w:wordWrap/>
        <w:overflowPunct/>
        <w:topLinePunct w:val="0"/>
        <w:bidi w:val="0"/>
        <w:snapToGrid/>
        <w:spacing w:line="480" w:lineRule="exact"/>
        <w:textAlignment w:val="auto"/>
        <w:rPr>
          <w:rFonts w:hint="eastAsia" w:ascii="宋体" w:hAnsi="宋体" w:eastAsia="宋体" w:cs="宋体"/>
          <w:b/>
          <w:bCs/>
          <w:color w:val="auto"/>
          <w:kern w:val="0"/>
          <w:sz w:val="24"/>
          <w:szCs w:val="24"/>
          <w:highlight w:val="none"/>
        </w:rPr>
      </w:pPr>
      <w:bookmarkStart w:id="202" w:name="_Toc22267"/>
      <w:r>
        <w:rPr>
          <w:rFonts w:hint="eastAsia" w:ascii="宋体" w:hAnsi="宋体" w:eastAsia="宋体" w:cs="宋体"/>
          <w:b/>
          <w:bCs/>
          <w:color w:val="auto"/>
          <w:kern w:val="0"/>
          <w:sz w:val="24"/>
          <w:szCs w:val="24"/>
          <w:highlight w:val="none"/>
        </w:rPr>
        <w:t>2.7 延迟</w:t>
      </w:r>
      <w:bookmarkEnd w:id="199"/>
      <w:bookmarkEnd w:id="200"/>
      <w:bookmarkEnd w:id="201"/>
      <w:r>
        <w:rPr>
          <w:rFonts w:hint="eastAsia" w:ascii="宋体" w:hAnsi="宋体" w:eastAsia="宋体" w:cs="宋体"/>
          <w:b/>
          <w:bCs/>
          <w:color w:val="auto"/>
          <w:kern w:val="0"/>
          <w:sz w:val="24"/>
          <w:szCs w:val="24"/>
          <w:highlight w:val="none"/>
        </w:rPr>
        <w:t>履行</w:t>
      </w:r>
      <w:bookmarkEnd w:id="202"/>
    </w:p>
    <w:p w14:paraId="3C774B9D">
      <w:pPr>
        <w:keepNext w:val="0"/>
        <w:keepLines w:val="0"/>
        <w:pageBreakBefore w:val="0"/>
        <w:kinsoku/>
        <w:wordWrap/>
        <w:overflowPunct/>
        <w:topLinePunct w:val="0"/>
        <w:bidi w:val="0"/>
        <w:snapToGrid/>
        <w:spacing w:line="480" w:lineRule="exact"/>
        <w:ind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p>
    <w:p w14:paraId="795F653E">
      <w:pPr>
        <w:keepNext w:val="0"/>
        <w:keepLines w:val="0"/>
        <w:pageBreakBefore w:val="0"/>
        <w:kinsoku/>
        <w:wordWrap/>
        <w:overflowPunct/>
        <w:topLinePunct w:val="0"/>
        <w:bidi w:val="0"/>
        <w:snapToGrid/>
        <w:spacing w:line="480" w:lineRule="exact"/>
        <w:textAlignment w:val="auto"/>
        <w:rPr>
          <w:rFonts w:hint="eastAsia" w:ascii="宋体" w:hAnsi="宋体" w:eastAsia="宋体" w:cs="宋体"/>
          <w:b/>
          <w:bCs/>
          <w:color w:val="auto"/>
          <w:kern w:val="0"/>
          <w:sz w:val="24"/>
          <w:szCs w:val="24"/>
          <w:highlight w:val="none"/>
        </w:rPr>
      </w:pPr>
      <w:bookmarkStart w:id="203" w:name="_Toc10611"/>
      <w:bookmarkStart w:id="204" w:name="_Toc259093683"/>
      <w:bookmarkStart w:id="205" w:name="_Toc279701254"/>
      <w:bookmarkStart w:id="206" w:name="_Toc487900364"/>
      <w:bookmarkStart w:id="207" w:name="_Ref467378121"/>
      <w:r>
        <w:rPr>
          <w:rFonts w:hint="eastAsia" w:ascii="宋体" w:hAnsi="宋体" w:eastAsia="宋体" w:cs="宋体"/>
          <w:b/>
          <w:bCs/>
          <w:color w:val="auto"/>
          <w:kern w:val="0"/>
          <w:sz w:val="24"/>
          <w:szCs w:val="24"/>
          <w:highlight w:val="none"/>
        </w:rPr>
        <w:t>2.8 合同变更</w:t>
      </w:r>
      <w:bookmarkEnd w:id="203"/>
    </w:p>
    <w:p w14:paraId="5A2AE0CE">
      <w:pPr>
        <w:keepNext w:val="0"/>
        <w:keepLines w:val="0"/>
        <w:pageBreakBefore w:val="0"/>
        <w:kinsoku/>
        <w:wordWrap/>
        <w:overflowPunct/>
        <w:topLinePunct w:val="0"/>
        <w:bidi w:val="0"/>
        <w:snapToGrid/>
        <w:spacing w:line="480" w:lineRule="exact"/>
        <w:ind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2.8.1双方当事人协商一致，可以签订书面补充合同的形式变更合同，但不得违背采购文件确定的事项，且如果系追加与合同标的相同的服务的，那么所有补充合同的采购金额不得超过原合同价的10%。</w:t>
      </w:r>
    </w:p>
    <w:p w14:paraId="5570BF96">
      <w:pPr>
        <w:keepNext w:val="0"/>
        <w:keepLines w:val="0"/>
        <w:pageBreakBefore w:val="0"/>
        <w:kinsoku/>
        <w:wordWrap/>
        <w:overflowPunct/>
        <w:topLinePunct w:val="0"/>
        <w:bidi w:val="0"/>
        <w:snapToGrid/>
        <w:spacing w:line="480" w:lineRule="exact"/>
        <w:ind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2.8.2合同继续履行将损害国家利益和社会公共利益的，甲方有权变更合同。有过错的一方应当承担赔偿责任，双方当事人都有过错的，各自承担相应的责任。</w:t>
      </w:r>
      <w:bookmarkStart w:id="208" w:name="_Toc259093688"/>
      <w:bookmarkStart w:id="209" w:name="_Toc487900369"/>
      <w:bookmarkStart w:id="210" w:name="_Toc279701259"/>
    </w:p>
    <w:p w14:paraId="4D3DAF30">
      <w:pPr>
        <w:keepNext w:val="0"/>
        <w:keepLines w:val="0"/>
        <w:pageBreakBefore w:val="0"/>
        <w:kinsoku/>
        <w:wordWrap/>
        <w:overflowPunct/>
        <w:topLinePunct w:val="0"/>
        <w:bidi w:val="0"/>
        <w:snapToGrid/>
        <w:spacing w:line="480" w:lineRule="exact"/>
        <w:textAlignment w:val="auto"/>
        <w:rPr>
          <w:rFonts w:hint="eastAsia" w:ascii="宋体" w:hAnsi="宋体" w:eastAsia="宋体" w:cs="宋体"/>
          <w:b/>
          <w:bCs/>
          <w:color w:val="auto"/>
          <w:kern w:val="0"/>
          <w:sz w:val="24"/>
          <w:szCs w:val="24"/>
          <w:highlight w:val="none"/>
        </w:rPr>
      </w:pPr>
      <w:bookmarkStart w:id="211" w:name="_Toc23368"/>
      <w:bookmarkStart w:id="212" w:name="_Toc21830"/>
      <w:bookmarkStart w:id="213" w:name="_Toc26689"/>
      <w:bookmarkStart w:id="214" w:name="_Toc42"/>
      <w:bookmarkStart w:id="215" w:name="_Toc10663"/>
      <w:r>
        <w:rPr>
          <w:rFonts w:hint="eastAsia" w:ascii="宋体" w:hAnsi="宋体" w:eastAsia="宋体" w:cs="宋体"/>
          <w:b/>
          <w:bCs/>
          <w:color w:val="auto"/>
          <w:kern w:val="0"/>
          <w:sz w:val="24"/>
          <w:szCs w:val="24"/>
          <w:highlight w:val="none"/>
        </w:rPr>
        <w:t>2.9 合同转让</w:t>
      </w:r>
      <w:bookmarkEnd w:id="208"/>
      <w:bookmarkEnd w:id="209"/>
      <w:bookmarkEnd w:id="210"/>
      <w:r>
        <w:rPr>
          <w:rFonts w:hint="eastAsia" w:ascii="宋体" w:hAnsi="宋体" w:eastAsia="宋体" w:cs="宋体"/>
          <w:b/>
          <w:bCs/>
          <w:color w:val="auto"/>
          <w:kern w:val="0"/>
          <w:sz w:val="24"/>
          <w:szCs w:val="24"/>
          <w:highlight w:val="none"/>
        </w:rPr>
        <w:t>和分包</w:t>
      </w:r>
      <w:bookmarkEnd w:id="211"/>
      <w:bookmarkEnd w:id="212"/>
      <w:bookmarkEnd w:id="213"/>
      <w:bookmarkEnd w:id="214"/>
      <w:bookmarkEnd w:id="215"/>
    </w:p>
    <w:p w14:paraId="58942EDF">
      <w:pPr>
        <w:keepNext w:val="0"/>
        <w:keepLines w:val="0"/>
        <w:pageBreakBefore w:val="0"/>
        <w:kinsoku/>
        <w:wordWrap/>
        <w:overflowPunct/>
        <w:topLinePunct w:val="0"/>
        <w:bidi w:val="0"/>
        <w:snapToGrid/>
        <w:spacing w:line="480" w:lineRule="exact"/>
        <w:ind w:firstLine="480" w:firstLineChars="200"/>
        <w:textAlignment w:val="auto"/>
        <w:rPr>
          <w:rFonts w:hint="eastAsia" w:ascii="宋体" w:hAnsi="宋体" w:eastAsia="宋体" w:cs="宋体"/>
          <w:bCs/>
          <w:color w:val="auto"/>
          <w:kern w:val="0"/>
          <w:sz w:val="24"/>
          <w:szCs w:val="24"/>
          <w:highlight w:val="none"/>
        </w:rPr>
      </w:pPr>
      <w:bookmarkStart w:id="216" w:name="_Toc25571"/>
      <w:bookmarkStart w:id="217" w:name="_Toc14371"/>
      <w:bookmarkStart w:id="218" w:name="_Toc4720"/>
      <w:bookmarkStart w:id="219" w:name="_Toc32494"/>
      <w:bookmarkStart w:id="220" w:name="_Toc26633"/>
      <w:r>
        <w:rPr>
          <w:rFonts w:hint="eastAsia" w:ascii="宋体" w:hAnsi="宋体" w:eastAsia="宋体" w:cs="宋体"/>
          <w:bCs/>
          <w:color w:val="auto"/>
          <w:kern w:val="0"/>
          <w:sz w:val="24"/>
          <w:szCs w:val="24"/>
          <w:highlight w:val="none"/>
        </w:rPr>
        <w:t>2.9.1本项目不得以任何形式进行转包及分包。</w:t>
      </w:r>
    </w:p>
    <w:p w14:paraId="22F9A054">
      <w:pPr>
        <w:keepNext w:val="0"/>
        <w:keepLines w:val="0"/>
        <w:pageBreakBefore w:val="0"/>
        <w:kinsoku/>
        <w:wordWrap/>
        <w:overflowPunct/>
        <w:topLinePunct w:val="0"/>
        <w:bidi w:val="0"/>
        <w:snapToGrid/>
        <w:spacing w:line="480" w:lineRule="exact"/>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2.10 不可抗力</w:t>
      </w:r>
      <w:bookmarkEnd w:id="216"/>
      <w:bookmarkEnd w:id="217"/>
      <w:bookmarkEnd w:id="218"/>
      <w:bookmarkEnd w:id="219"/>
      <w:bookmarkEnd w:id="220"/>
    </w:p>
    <w:p w14:paraId="3FA6E7A5">
      <w:pPr>
        <w:keepNext w:val="0"/>
        <w:keepLines w:val="0"/>
        <w:pageBreakBefore w:val="0"/>
        <w:kinsoku/>
        <w:wordWrap/>
        <w:overflowPunct/>
        <w:topLinePunct w:val="0"/>
        <w:bidi w:val="0"/>
        <w:snapToGrid/>
        <w:spacing w:line="480" w:lineRule="exact"/>
        <w:ind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2.10.1如果任何一方遭遇法律规定的不可抗力，致使合同履行受阻时，履行合同的期限应予延长，延长的期限应相当于不可抗力所影响的时间。</w:t>
      </w:r>
    </w:p>
    <w:p w14:paraId="6AB6A89E">
      <w:pPr>
        <w:keepNext w:val="0"/>
        <w:keepLines w:val="0"/>
        <w:pageBreakBefore w:val="0"/>
        <w:kinsoku/>
        <w:wordWrap/>
        <w:overflowPunct/>
        <w:topLinePunct w:val="0"/>
        <w:bidi w:val="0"/>
        <w:snapToGrid/>
        <w:spacing w:line="480" w:lineRule="exact"/>
        <w:ind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2.10.2因不可抗力致使不能实现合同目的的，当事人可以解除合同。</w:t>
      </w:r>
    </w:p>
    <w:p w14:paraId="0E60E490">
      <w:pPr>
        <w:keepNext w:val="0"/>
        <w:keepLines w:val="0"/>
        <w:pageBreakBefore w:val="0"/>
        <w:kinsoku/>
        <w:wordWrap/>
        <w:overflowPunct/>
        <w:topLinePunct w:val="0"/>
        <w:bidi w:val="0"/>
        <w:snapToGrid/>
        <w:spacing w:line="480" w:lineRule="exact"/>
        <w:ind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2.10.3因不可抗力致使合同有变更必要的，双方当事人应在</w:t>
      </w:r>
      <w:r>
        <w:rPr>
          <w:rFonts w:hint="eastAsia" w:ascii="宋体" w:hAnsi="宋体" w:eastAsia="宋体" w:cs="宋体"/>
          <w:b/>
          <w:bCs/>
          <w:color w:val="auto"/>
          <w:kern w:val="0"/>
          <w:sz w:val="24"/>
          <w:szCs w:val="24"/>
          <w:highlight w:val="none"/>
          <w:u w:val="single"/>
        </w:rPr>
        <w:t>7个工作日内</w:t>
      </w:r>
      <w:r>
        <w:rPr>
          <w:rFonts w:hint="eastAsia" w:ascii="宋体" w:hAnsi="宋体" w:eastAsia="宋体" w:cs="宋体"/>
          <w:bCs/>
          <w:color w:val="auto"/>
          <w:kern w:val="0"/>
          <w:sz w:val="24"/>
          <w:szCs w:val="24"/>
          <w:highlight w:val="none"/>
        </w:rPr>
        <w:t>以书面形式变更合同。</w:t>
      </w:r>
    </w:p>
    <w:p w14:paraId="673F7CC6">
      <w:pPr>
        <w:keepNext w:val="0"/>
        <w:keepLines w:val="0"/>
        <w:pageBreakBefore w:val="0"/>
        <w:kinsoku/>
        <w:wordWrap/>
        <w:overflowPunct/>
        <w:topLinePunct w:val="0"/>
        <w:bidi w:val="0"/>
        <w:snapToGrid/>
        <w:spacing w:line="480" w:lineRule="exact"/>
        <w:ind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2.10.4受不可抗力影响的一方在不可抗力发生后，应在</w:t>
      </w:r>
      <w:r>
        <w:rPr>
          <w:rFonts w:hint="eastAsia" w:ascii="宋体" w:hAnsi="宋体" w:eastAsia="宋体" w:cs="宋体"/>
          <w:b/>
          <w:bCs/>
          <w:color w:val="auto"/>
          <w:kern w:val="0"/>
          <w:sz w:val="24"/>
          <w:szCs w:val="24"/>
          <w:highlight w:val="none"/>
          <w:u w:val="single"/>
        </w:rPr>
        <w:t>7个工作日</w:t>
      </w:r>
      <w:r>
        <w:rPr>
          <w:rFonts w:hint="eastAsia" w:ascii="宋体" w:hAnsi="宋体" w:eastAsia="宋体" w:cs="宋体"/>
          <w:bCs/>
          <w:color w:val="auto"/>
          <w:kern w:val="0"/>
          <w:sz w:val="24"/>
          <w:szCs w:val="24"/>
          <w:highlight w:val="none"/>
        </w:rPr>
        <w:t>内以书面形式通知对方当事人，并在</w:t>
      </w:r>
      <w:r>
        <w:rPr>
          <w:rFonts w:hint="eastAsia" w:ascii="宋体" w:hAnsi="宋体" w:eastAsia="宋体" w:cs="宋体"/>
          <w:b/>
          <w:bCs/>
          <w:color w:val="auto"/>
          <w:kern w:val="0"/>
          <w:sz w:val="24"/>
          <w:szCs w:val="24"/>
          <w:highlight w:val="none"/>
          <w:u w:val="single"/>
        </w:rPr>
        <w:t>7个工作日</w:t>
      </w:r>
      <w:r>
        <w:rPr>
          <w:rFonts w:hint="eastAsia" w:ascii="宋体" w:hAnsi="宋体" w:eastAsia="宋体" w:cs="宋体"/>
          <w:bCs/>
          <w:color w:val="auto"/>
          <w:kern w:val="0"/>
          <w:sz w:val="24"/>
          <w:szCs w:val="24"/>
          <w:highlight w:val="none"/>
        </w:rPr>
        <w:t>内，将有关部门出具的证明文件送达对方当事人。</w:t>
      </w:r>
    </w:p>
    <w:p w14:paraId="283906AA">
      <w:pPr>
        <w:keepNext w:val="0"/>
        <w:keepLines w:val="0"/>
        <w:pageBreakBefore w:val="0"/>
        <w:kinsoku/>
        <w:wordWrap/>
        <w:overflowPunct/>
        <w:topLinePunct w:val="0"/>
        <w:bidi w:val="0"/>
        <w:snapToGrid/>
        <w:spacing w:line="480" w:lineRule="exact"/>
        <w:textAlignment w:val="auto"/>
        <w:rPr>
          <w:rFonts w:hint="eastAsia" w:ascii="宋体" w:hAnsi="宋体" w:eastAsia="宋体" w:cs="宋体"/>
          <w:b/>
          <w:bCs/>
          <w:color w:val="auto"/>
          <w:kern w:val="0"/>
          <w:sz w:val="24"/>
          <w:szCs w:val="24"/>
          <w:highlight w:val="none"/>
        </w:rPr>
      </w:pPr>
      <w:bookmarkStart w:id="221" w:name="_Toc25783"/>
      <w:bookmarkStart w:id="222" w:name="_Toc259093684"/>
      <w:bookmarkStart w:id="223" w:name="_Toc279701255"/>
      <w:bookmarkStart w:id="224" w:name="_Toc14115"/>
      <w:bookmarkStart w:id="225" w:name="_Toc24465"/>
      <w:bookmarkStart w:id="226" w:name="_Toc3638"/>
      <w:bookmarkStart w:id="227" w:name="_Toc487900365"/>
      <w:bookmarkStart w:id="228" w:name="_Toc23854"/>
      <w:r>
        <w:rPr>
          <w:rFonts w:hint="eastAsia" w:ascii="宋体" w:hAnsi="宋体" w:eastAsia="宋体" w:cs="宋体"/>
          <w:b/>
          <w:bCs/>
          <w:color w:val="auto"/>
          <w:kern w:val="0"/>
          <w:sz w:val="24"/>
          <w:szCs w:val="24"/>
          <w:highlight w:val="none"/>
        </w:rPr>
        <w:t>2.11 税费</w:t>
      </w:r>
      <w:bookmarkEnd w:id="221"/>
      <w:bookmarkEnd w:id="222"/>
      <w:bookmarkEnd w:id="223"/>
      <w:bookmarkEnd w:id="224"/>
      <w:bookmarkEnd w:id="225"/>
      <w:bookmarkEnd w:id="226"/>
      <w:bookmarkEnd w:id="227"/>
      <w:bookmarkEnd w:id="228"/>
    </w:p>
    <w:p w14:paraId="5B8F1308">
      <w:pPr>
        <w:keepNext w:val="0"/>
        <w:keepLines w:val="0"/>
        <w:pageBreakBefore w:val="0"/>
        <w:kinsoku/>
        <w:wordWrap/>
        <w:overflowPunct/>
        <w:topLinePunct w:val="0"/>
        <w:bidi w:val="0"/>
        <w:snapToGrid/>
        <w:spacing w:line="480" w:lineRule="exact"/>
        <w:ind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与合同有关的一切税费，均按照中华人民共和国法律的相关规定缴纳。</w:t>
      </w:r>
    </w:p>
    <w:p w14:paraId="79A42B47">
      <w:pPr>
        <w:keepNext w:val="0"/>
        <w:keepLines w:val="0"/>
        <w:pageBreakBefore w:val="0"/>
        <w:kinsoku/>
        <w:wordWrap/>
        <w:overflowPunct/>
        <w:topLinePunct w:val="0"/>
        <w:bidi w:val="0"/>
        <w:snapToGrid/>
        <w:spacing w:line="480" w:lineRule="exact"/>
        <w:textAlignment w:val="auto"/>
        <w:rPr>
          <w:rFonts w:hint="eastAsia" w:ascii="宋体" w:hAnsi="宋体" w:eastAsia="宋体" w:cs="宋体"/>
          <w:b/>
          <w:bCs/>
          <w:color w:val="auto"/>
          <w:kern w:val="0"/>
          <w:sz w:val="24"/>
          <w:szCs w:val="24"/>
          <w:highlight w:val="none"/>
        </w:rPr>
      </w:pPr>
      <w:bookmarkStart w:id="229" w:name="_Toc25525"/>
      <w:bookmarkStart w:id="230" w:name="_Toc7315"/>
      <w:bookmarkStart w:id="231" w:name="_Toc279701258"/>
      <w:bookmarkStart w:id="232" w:name="_Toc30105"/>
      <w:bookmarkStart w:id="233" w:name="_Toc26883"/>
      <w:bookmarkStart w:id="234" w:name="_Toc14814"/>
      <w:bookmarkStart w:id="235" w:name="_Toc259093687"/>
      <w:bookmarkStart w:id="236" w:name="_Toc487900368"/>
      <w:r>
        <w:rPr>
          <w:rFonts w:hint="eastAsia" w:ascii="宋体" w:hAnsi="宋体" w:eastAsia="宋体" w:cs="宋体"/>
          <w:b/>
          <w:bCs/>
          <w:color w:val="auto"/>
          <w:kern w:val="0"/>
          <w:sz w:val="24"/>
          <w:szCs w:val="24"/>
          <w:highlight w:val="none"/>
        </w:rPr>
        <w:t>2.12 乙方破产</w:t>
      </w:r>
      <w:bookmarkEnd w:id="229"/>
      <w:bookmarkEnd w:id="230"/>
      <w:bookmarkEnd w:id="231"/>
      <w:bookmarkEnd w:id="232"/>
      <w:bookmarkEnd w:id="233"/>
      <w:bookmarkEnd w:id="234"/>
      <w:bookmarkEnd w:id="235"/>
      <w:bookmarkEnd w:id="236"/>
      <w:r>
        <w:rPr>
          <w:rFonts w:hint="eastAsia" w:ascii="宋体" w:hAnsi="宋体" w:eastAsia="宋体" w:cs="宋体"/>
          <w:b/>
          <w:bCs/>
          <w:color w:val="auto"/>
          <w:kern w:val="0"/>
          <w:sz w:val="24"/>
          <w:szCs w:val="24"/>
          <w:highlight w:val="none"/>
          <w:lang w:val="en-US" w:eastAsia="zh-CN"/>
        </w:rPr>
        <w:t>及</w:t>
      </w:r>
      <w:r>
        <w:rPr>
          <w:rFonts w:hint="eastAsia" w:ascii="宋体" w:hAnsi="宋体" w:eastAsia="宋体" w:cs="宋体"/>
          <w:b/>
          <w:bCs/>
          <w:color w:val="auto"/>
          <w:kern w:val="0"/>
          <w:sz w:val="24"/>
          <w:szCs w:val="24"/>
          <w:highlight w:val="none"/>
        </w:rPr>
        <w:t>合同中止、终止</w:t>
      </w:r>
    </w:p>
    <w:p w14:paraId="0EACBE09">
      <w:pPr>
        <w:keepNext w:val="0"/>
        <w:keepLines w:val="0"/>
        <w:pageBreakBefore w:val="0"/>
        <w:kinsoku/>
        <w:wordWrap/>
        <w:overflowPunct/>
        <w:topLinePunct w:val="0"/>
        <w:bidi w:val="0"/>
        <w:snapToGrid/>
        <w:spacing w:line="480" w:lineRule="exact"/>
        <w:ind w:firstLine="480" w:firstLineChars="200"/>
        <w:textAlignment w:val="auto"/>
        <w:rPr>
          <w:rFonts w:hint="eastAsia" w:ascii="宋体" w:hAnsi="宋体" w:eastAsia="宋体" w:cs="宋体"/>
          <w:b/>
          <w:bCs/>
          <w:color w:val="auto"/>
          <w:kern w:val="0"/>
          <w:sz w:val="24"/>
          <w:szCs w:val="24"/>
          <w:highlight w:val="none"/>
        </w:rPr>
      </w:pPr>
      <w:r>
        <w:rPr>
          <w:rFonts w:hint="eastAsia" w:ascii="宋体" w:hAnsi="宋体" w:eastAsia="宋体" w:cs="宋体"/>
          <w:bCs/>
          <w:color w:val="auto"/>
          <w:kern w:val="0"/>
          <w:sz w:val="24"/>
          <w:szCs w:val="24"/>
          <w:highlight w:val="none"/>
          <w:lang w:val="en-US" w:eastAsia="zh-CN"/>
        </w:rPr>
        <w:t>2.12.1</w:t>
      </w:r>
      <w:r>
        <w:rPr>
          <w:rFonts w:hint="eastAsia" w:ascii="宋体" w:hAnsi="宋体" w:eastAsia="宋体" w:cs="宋体"/>
          <w:bCs/>
          <w:color w:val="auto"/>
          <w:kern w:val="0"/>
          <w:sz w:val="24"/>
          <w:szCs w:val="24"/>
          <w:highlight w:val="none"/>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14:paraId="708EDFAF">
      <w:pPr>
        <w:keepNext w:val="0"/>
        <w:keepLines w:val="0"/>
        <w:pageBreakBefore w:val="0"/>
        <w:kinsoku/>
        <w:wordWrap/>
        <w:overflowPunct/>
        <w:topLinePunct w:val="0"/>
        <w:bidi w:val="0"/>
        <w:snapToGrid/>
        <w:spacing w:line="480" w:lineRule="exact"/>
        <w:ind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2.1</w:t>
      </w:r>
      <w:r>
        <w:rPr>
          <w:rFonts w:hint="eastAsia" w:ascii="宋体" w:hAnsi="宋体" w:eastAsia="宋体" w:cs="宋体"/>
          <w:bCs/>
          <w:color w:val="auto"/>
          <w:kern w:val="0"/>
          <w:sz w:val="24"/>
          <w:szCs w:val="24"/>
          <w:highlight w:val="none"/>
          <w:lang w:val="en-US" w:eastAsia="zh-CN"/>
        </w:rPr>
        <w:t>2</w:t>
      </w:r>
      <w:r>
        <w:rPr>
          <w:rFonts w:hint="eastAsia" w:ascii="宋体" w:hAnsi="宋体" w:eastAsia="宋体" w:cs="宋体"/>
          <w:bCs/>
          <w:color w:val="auto"/>
          <w:kern w:val="0"/>
          <w:sz w:val="24"/>
          <w:szCs w:val="24"/>
          <w:highlight w:val="none"/>
        </w:rPr>
        <w:t>.</w:t>
      </w:r>
      <w:r>
        <w:rPr>
          <w:rFonts w:hint="eastAsia" w:ascii="宋体" w:hAnsi="宋体" w:eastAsia="宋体" w:cs="宋体"/>
          <w:bCs/>
          <w:color w:val="auto"/>
          <w:kern w:val="0"/>
          <w:sz w:val="24"/>
          <w:szCs w:val="24"/>
          <w:highlight w:val="none"/>
          <w:lang w:val="en-US" w:eastAsia="zh-CN"/>
        </w:rPr>
        <w:t>2</w:t>
      </w:r>
      <w:r>
        <w:rPr>
          <w:rFonts w:hint="eastAsia" w:ascii="宋体" w:hAnsi="宋体" w:eastAsia="宋体" w:cs="宋体"/>
          <w:bCs/>
          <w:color w:val="auto"/>
          <w:kern w:val="0"/>
          <w:sz w:val="24"/>
          <w:szCs w:val="24"/>
          <w:highlight w:val="none"/>
        </w:rPr>
        <w:t>双方当事人不得擅自中止或者终止合同。</w:t>
      </w:r>
    </w:p>
    <w:p w14:paraId="3CA2C540">
      <w:pPr>
        <w:keepNext w:val="0"/>
        <w:keepLines w:val="0"/>
        <w:pageBreakBefore w:val="0"/>
        <w:kinsoku/>
        <w:wordWrap/>
        <w:overflowPunct/>
        <w:topLinePunct w:val="0"/>
        <w:bidi w:val="0"/>
        <w:snapToGrid/>
        <w:spacing w:line="480" w:lineRule="exact"/>
        <w:ind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2.1</w:t>
      </w:r>
      <w:r>
        <w:rPr>
          <w:rFonts w:hint="eastAsia" w:ascii="宋体" w:hAnsi="宋体" w:eastAsia="宋体" w:cs="宋体"/>
          <w:bCs/>
          <w:color w:val="auto"/>
          <w:kern w:val="0"/>
          <w:sz w:val="24"/>
          <w:szCs w:val="24"/>
          <w:highlight w:val="none"/>
          <w:lang w:val="en-US" w:eastAsia="zh-CN"/>
        </w:rPr>
        <w:t>2</w:t>
      </w:r>
      <w:r>
        <w:rPr>
          <w:rFonts w:hint="eastAsia" w:ascii="宋体" w:hAnsi="宋体" w:eastAsia="宋体" w:cs="宋体"/>
          <w:bCs/>
          <w:color w:val="auto"/>
          <w:kern w:val="0"/>
          <w:sz w:val="24"/>
          <w:szCs w:val="24"/>
          <w:highlight w:val="none"/>
        </w:rPr>
        <w:t>.</w:t>
      </w:r>
      <w:r>
        <w:rPr>
          <w:rFonts w:hint="eastAsia" w:ascii="宋体" w:hAnsi="宋体" w:eastAsia="宋体" w:cs="宋体"/>
          <w:bCs/>
          <w:color w:val="auto"/>
          <w:kern w:val="0"/>
          <w:sz w:val="24"/>
          <w:szCs w:val="24"/>
          <w:highlight w:val="none"/>
          <w:lang w:val="en-US" w:eastAsia="zh-CN"/>
        </w:rPr>
        <w:t>3</w:t>
      </w:r>
      <w:r>
        <w:rPr>
          <w:rFonts w:hint="eastAsia" w:ascii="宋体" w:hAnsi="宋体" w:eastAsia="宋体" w:cs="宋体"/>
          <w:bCs/>
          <w:color w:val="auto"/>
          <w:kern w:val="0"/>
          <w:sz w:val="24"/>
          <w:szCs w:val="24"/>
          <w:highlight w:val="none"/>
        </w:rPr>
        <w:t>合同继续履行将损害国家利益和社会公共利益的，甲方有权中止或者终止、解除合同。有过错的一方应当承担赔偿责任，双方当事人都有过错的，各自承担相应的责任。</w:t>
      </w:r>
    </w:p>
    <w:bookmarkEnd w:id="204"/>
    <w:bookmarkEnd w:id="205"/>
    <w:bookmarkEnd w:id="206"/>
    <w:bookmarkEnd w:id="207"/>
    <w:p w14:paraId="6A164FC8">
      <w:pPr>
        <w:keepNext w:val="0"/>
        <w:keepLines w:val="0"/>
        <w:pageBreakBefore w:val="0"/>
        <w:kinsoku/>
        <w:wordWrap/>
        <w:overflowPunct/>
        <w:topLinePunct w:val="0"/>
        <w:bidi w:val="0"/>
        <w:snapToGrid/>
        <w:spacing w:line="480" w:lineRule="exact"/>
        <w:textAlignment w:val="auto"/>
        <w:rPr>
          <w:rFonts w:hint="eastAsia" w:ascii="宋体" w:hAnsi="宋体" w:eastAsia="宋体" w:cs="宋体"/>
          <w:b/>
          <w:bCs/>
          <w:color w:val="auto"/>
          <w:kern w:val="0"/>
          <w:sz w:val="24"/>
          <w:szCs w:val="24"/>
          <w:highlight w:val="none"/>
        </w:rPr>
      </w:pPr>
      <w:bookmarkStart w:id="237" w:name="_Toc279701261"/>
      <w:bookmarkStart w:id="238" w:name="_Toc259093690"/>
      <w:bookmarkStart w:id="239" w:name="_Toc487900371"/>
      <w:bookmarkStart w:id="240" w:name="_Toc25198"/>
      <w:bookmarkStart w:id="241" w:name="_Toc12666"/>
      <w:bookmarkStart w:id="242" w:name="_Toc2308"/>
      <w:bookmarkStart w:id="243" w:name="_Toc9808"/>
      <w:bookmarkStart w:id="244" w:name="_Toc31892"/>
      <w:r>
        <w:rPr>
          <w:rFonts w:hint="eastAsia" w:ascii="宋体" w:hAnsi="宋体" w:eastAsia="宋体" w:cs="宋体"/>
          <w:b/>
          <w:bCs/>
          <w:color w:val="auto"/>
          <w:kern w:val="0"/>
          <w:sz w:val="24"/>
          <w:szCs w:val="24"/>
          <w:highlight w:val="none"/>
        </w:rPr>
        <w:t>2.1</w:t>
      </w:r>
      <w:r>
        <w:rPr>
          <w:rFonts w:hint="eastAsia" w:ascii="宋体" w:hAnsi="宋体" w:eastAsia="宋体" w:cs="宋体"/>
          <w:b/>
          <w:bCs/>
          <w:color w:val="auto"/>
          <w:kern w:val="0"/>
          <w:sz w:val="24"/>
          <w:szCs w:val="24"/>
          <w:highlight w:val="none"/>
          <w:lang w:val="en-US" w:eastAsia="zh-CN"/>
        </w:rPr>
        <w:t>3</w:t>
      </w:r>
      <w:r>
        <w:rPr>
          <w:rFonts w:hint="eastAsia" w:ascii="宋体" w:hAnsi="宋体" w:eastAsia="宋体" w:cs="宋体"/>
          <w:b/>
          <w:bCs/>
          <w:color w:val="auto"/>
          <w:kern w:val="0"/>
          <w:sz w:val="24"/>
          <w:szCs w:val="24"/>
          <w:highlight w:val="none"/>
        </w:rPr>
        <w:t xml:space="preserve"> 通知</w:t>
      </w:r>
      <w:bookmarkEnd w:id="237"/>
      <w:bookmarkEnd w:id="238"/>
      <w:bookmarkEnd w:id="239"/>
      <w:r>
        <w:rPr>
          <w:rFonts w:hint="eastAsia" w:ascii="宋体" w:hAnsi="宋体" w:eastAsia="宋体" w:cs="宋体"/>
          <w:b/>
          <w:bCs/>
          <w:color w:val="auto"/>
          <w:kern w:val="0"/>
          <w:sz w:val="24"/>
          <w:szCs w:val="24"/>
          <w:highlight w:val="none"/>
        </w:rPr>
        <w:t>和送达</w:t>
      </w:r>
      <w:bookmarkEnd w:id="240"/>
      <w:bookmarkEnd w:id="241"/>
      <w:bookmarkEnd w:id="242"/>
      <w:bookmarkEnd w:id="243"/>
      <w:bookmarkEnd w:id="244"/>
    </w:p>
    <w:p w14:paraId="5517A51C">
      <w:pPr>
        <w:keepNext w:val="0"/>
        <w:keepLines w:val="0"/>
        <w:pageBreakBefore w:val="0"/>
        <w:kinsoku/>
        <w:wordWrap/>
        <w:overflowPunct/>
        <w:topLinePunct w:val="0"/>
        <w:bidi w:val="0"/>
        <w:snapToGrid/>
        <w:spacing w:line="480" w:lineRule="exact"/>
        <w:ind w:firstLine="480" w:firstLineChars="200"/>
        <w:textAlignment w:val="auto"/>
        <w:rPr>
          <w:rFonts w:hint="eastAsia" w:ascii="宋体" w:hAnsi="宋体" w:eastAsia="宋体" w:cs="宋体"/>
          <w:bCs/>
          <w:color w:val="auto"/>
          <w:kern w:val="0"/>
          <w:sz w:val="24"/>
          <w:szCs w:val="24"/>
          <w:highlight w:val="none"/>
        </w:rPr>
      </w:pPr>
      <w:bookmarkStart w:id="245" w:name="_Toc7073"/>
      <w:bookmarkStart w:id="246" w:name="_Toc29220"/>
      <w:bookmarkStart w:id="247" w:name="_Toc279701262"/>
      <w:bookmarkStart w:id="248" w:name="_Toc259093691"/>
      <w:bookmarkStart w:id="249" w:name="_Toc487900372"/>
      <w:r>
        <w:rPr>
          <w:rFonts w:hint="eastAsia" w:ascii="宋体" w:hAnsi="宋体" w:eastAsia="宋体" w:cs="宋体"/>
          <w:bCs/>
          <w:color w:val="auto"/>
          <w:kern w:val="0"/>
          <w:sz w:val="24"/>
          <w:szCs w:val="24"/>
          <w:highlight w:val="none"/>
        </w:rPr>
        <w:t>2.1</w:t>
      </w:r>
      <w:r>
        <w:rPr>
          <w:rFonts w:hint="eastAsia" w:ascii="宋体" w:hAnsi="宋体" w:eastAsia="宋体" w:cs="宋体"/>
          <w:bCs/>
          <w:color w:val="auto"/>
          <w:kern w:val="0"/>
          <w:sz w:val="24"/>
          <w:szCs w:val="24"/>
          <w:highlight w:val="none"/>
          <w:lang w:val="en-US" w:eastAsia="zh-CN"/>
        </w:rPr>
        <w:t>3</w:t>
      </w:r>
      <w:r>
        <w:rPr>
          <w:rFonts w:hint="eastAsia" w:ascii="宋体" w:hAnsi="宋体" w:eastAsia="宋体" w:cs="宋体"/>
          <w:bCs/>
          <w:color w:val="auto"/>
          <w:kern w:val="0"/>
          <w:sz w:val="24"/>
          <w:szCs w:val="24"/>
          <w:highlight w:val="none"/>
        </w:rPr>
        <w:t>.1任何一方因履行合同而以合同第一部分尾部所列明的</w:t>
      </w:r>
      <w:r>
        <w:rPr>
          <w:rFonts w:hint="eastAsia" w:ascii="宋体" w:hAnsi="宋体" w:eastAsia="宋体" w:cs="宋体"/>
          <w:b/>
          <w:bCs/>
          <w:color w:val="auto"/>
          <w:kern w:val="0"/>
          <w:sz w:val="24"/>
          <w:szCs w:val="24"/>
          <w:highlight w:val="none"/>
          <w:u w:val="single"/>
        </w:rPr>
        <w:t>内容</w:t>
      </w:r>
      <w:r>
        <w:rPr>
          <w:rFonts w:hint="eastAsia" w:ascii="宋体" w:hAnsi="宋体" w:eastAsia="宋体" w:cs="宋体"/>
          <w:bCs/>
          <w:color w:val="auto"/>
          <w:kern w:val="0"/>
          <w:sz w:val="24"/>
          <w:szCs w:val="24"/>
          <w:highlight w:val="none"/>
        </w:rPr>
        <w:t>发出的所有通知、文件、材料，均视为已向对方当事人送达；任何一方变更上述送达方式或者地址的，应于</w:t>
      </w:r>
      <w:r>
        <w:rPr>
          <w:rFonts w:hint="eastAsia" w:ascii="宋体" w:hAnsi="宋体" w:eastAsia="宋体" w:cs="宋体"/>
          <w:b/>
          <w:bCs/>
          <w:color w:val="auto"/>
          <w:kern w:val="0"/>
          <w:sz w:val="24"/>
          <w:szCs w:val="24"/>
          <w:highlight w:val="none"/>
          <w:u w:val="single"/>
        </w:rPr>
        <w:t>5个工作日</w:t>
      </w:r>
      <w:r>
        <w:rPr>
          <w:rFonts w:hint="eastAsia" w:ascii="宋体" w:hAnsi="宋体" w:eastAsia="宋体" w:cs="宋体"/>
          <w:bCs/>
          <w:color w:val="auto"/>
          <w:kern w:val="0"/>
          <w:sz w:val="24"/>
          <w:szCs w:val="24"/>
          <w:highlight w:val="none"/>
        </w:rPr>
        <w:t>内书面通知对方当事人，在对方当事人收到有关变更通知之前，变更前的约定送达方式或者地址仍视为有效。</w:t>
      </w:r>
      <w:bookmarkEnd w:id="245"/>
      <w:bookmarkEnd w:id="246"/>
    </w:p>
    <w:p w14:paraId="2479F0BB">
      <w:pPr>
        <w:keepNext w:val="0"/>
        <w:keepLines w:val="0"/>
        <w:pageBreakBefore w:val="0"/>
        <w:kinsoku/>
        <w:wordWrap/>
        <w:overflowPunct/>
        <w:topLinePunct w:val="0"/>
        <w:bidi w:val="0"/>
        <w:snapToGrid/>
        <w:spacing w:line="480" w:lineRule="exact"/>
        <w:ind w:firstLine="480" w:firstLineChars="200"/>
        <w:textAlignment w:val="auto"/>
        <w:rPr>
          <w:rFonts w:hint="eastAsia" w:ascii="宋体" w:hAnsi="宋体" w:eastAsia="宋体" w:cs="宋体"/>
          <w:bCs/>
          <w:color w:val="auto"/>
          <w:kern w:val="0"/>
          <w:sz w:val="24"/>
          <w:szCs w:val="24"/>
          <w:highlight w:val="none"/>
        </w:rPr>
      </w:pPr>
      <w:bookmarkStart w:id="250" w:name="_Toc18401"/>
      <w:bookmarkStart w:id="251" w:name="_Toc27674"/>
      <w:r>
        <w:rPr>
          <w:rFonts w:hint="eastAsia" w:ascii="宋体" w:hAnsi="宋体" w:eastAsia="宋体" w:cs="宋体"/>
          <w:bCs/>
          <w:color w:val="auto"/>
          <w:kern w:val="0"/>
          <w:sz w:val="24"/>
          <w:szCs w:val="24"/>
          <w:highlight w:val="none"/>
        </w:rPr>
        <w:t>2.1</w:t>
      </w:r>
      <w:r>
        <w:rPr>
          <w:rFonts w:hint="eastAsia" w:ascii="宋体" w:hAnsi="宋体" w:eastAsia="宋体" w:cs="宋体"/>
          <w:bCs/>
          <w:color w:val="auto"/>
          <w:kern w:val="0"/>
          <w:sz w:val="24"/>
          <w:szCs w:val="24"/>
          <w:highlight w:val="none"/>
          <w:lang w:val="en-US" w:eastAsia="zh-CN"/>
        </w:rPr>
        <w:t>3</w:t>
      </w:r>
      <w:r>
        <w:rPr>
          <w:rFonts w:hint="eastAsia" w:ascii="宋体" w:hAnsi="宋体" w:eastAsia="宋体" w:cs="宋体"/>
          <w:bCs/>
          <w:color w:val="auto"/>
          <w:kern w:val="0"/>
          <w:sz w:val="24"/>
          <w:szCs w:val="24"/>
          <w:highlight w:val="none"/>
        </w:rPr>
        <w:t>.2以当面交付方式送达的，交付之时视为送达；以电子邮件方式送达的，发出电子邮件之时视为送达；以传真方式送达的，发出传真之时视为送达；以邮寄方式送达的，邮件挂号寄出或者交邮之日之次日视为送达。</w:t>
      </w:r>
      <w:bookmarkEnd w:id="250"/>
      <w:bookmarkEnd w:id="251"/>
    </w:p>
    <w:bookmarkEnd w:id="247"/>
    <w:bookmarkEnd w:id="248"/>
    <w:bookmarkEnd w:id="249"/>
    <w:p w14:paraId="66885041">
      <w:pPr>
        <w:keepNext w:val="0"/>
        <w:keepLines w:val="0"/>
        <w:pageBreakBefore w:val="0"/>
        <w:kinsoku/>
        <w:wordWrap/>
        <w:overflowPunct/>
        <w:topLinePunct w:val="0"/>
        <w:bidi w:val="0"/>
        <w:snapToGrid/>
        <w:spacing w:line="480" w:lineRule="exact"/>
        <w:textAlignment w:val="auto"/>
        <w:rPr>
          <w:rFonts w:hint="eastAsia" w:ascii="宋体" w:hAnsi="宋体" w:eastAsia="宋体" w:cs="宋体"/>
          <w:b/>
          <w:bCs/>
          <w:color w:val="auto"/>
          <w:kern w:val="0"/>
          <w:sz w:val="24"/>
          <w:szCs w:val="24"/>
          <w:highlight w:val="none"/>
        </w:rPr>
      </w:pPr>
      <w:bookmarkStart w:id="252" w:name="_Toc5063"/>
      <w:bookmarkStart w:id="253" w:name="_Toc20808"/>
      <w:bookmarkStart w:id="254" w:name="_Toc279701263"/>
      <w:bookmarkStart w:id="255" w:name="_Toc28906"/>
      <w:bookmarkStart w:id="256" w:name="_Toc259093692"/>
      <w:bookmarkStart w:id="257" w:name="_Toc12254"/>
      <w:bookmarkStart w:id="258" w:name="_Toc487900373"/>
      <w:bookmarkStart w:id="259" w:name="_Toc27644"/>
      <w:r>
        <w:rPr>
          <w:rFonts w:hint="eastAsia" w:ascii="宋体" w:hAnsi="宋体" w:eastAsia="宋体" w:cs="宋体"/>
          <w:b/>
          <w:bCs/>
          <w:color w:val="auto"/>
          <w:kern w:val="0"/>
          <w:sz w:val="24"/>
          <w:szCs w:val="24"/>
          <w:highlight w:val="none"/>
        </w:rPr>
        <w:t>2.1</w:t>
      </w:r>
      <w:r>
        <w:rPr>
          <w:rFonts w:hint="eastAsia" w:ascii="宋体" w:hAnsi="宋体" w:eastAsia="宋体" w:cs="宋体"/>
          <w:b/>
          <w:bCs/>
          <w:color w:val="auto"/>
          <w:kern w:val="0"/>
          <w:sz w:val="24"/>
          <w:szCs w:val="24"/>
          <w:highlight w:val="none"/>
          <w:lang w:val="en-US" w:eastAsia="zh-CN"/>
        </w:rPr>
        <w:t>4</w:t>
      </w:r>
      <w:r>
        <w:rPr>
          <w:rFonts w:hint="eastAsia" w:ascii="宋体" w:hAnsi="宋体" w:eastAsia="宋体" w:cs="宋体"/>
          <w:b/>
          <w:bCs/>
          <w:color w:val="auto"/>
          <w:kern w:val="0"/>
          <w:sz w:val="24"/>
          <w:szCs w:val="24"/>
          <w:highlight w:val="none"/>
        </w:rPr>
        <w:t>合同使用的文字和适用的法律</w:t>
      </w:r>
      <w:bookmarkEnd w:id="252"/>
      <w:bookmarkEnd w:id="253"/>
      <w:bookmarkEnd w:id="254"/>
      <w:bookmarkEnd w:id="255"/>
      <w:bookmarkEnd w:id="256"/>
      <w:bookmarkEnd w:id="257"/>
      <w:bookmarkEnd w:id="258"/>
      <w:bookmarkEnd w:id="259"/>
    </w:p>
    <w:p w14:paraId="5C4E9156">
      <w:pPr>
        <w:keepNext w:val="0"/>
        <w:keepLines w:val="0"/>
        <w:pageBreakBefore w:val="0"/>
        <w:kinsoku/>
        <w:wordWrap/>
        <w:overflowPunct/>
        <w:topLinePunct w:val="0"/>
        <w:bidi w:val="0"/>
        <w:snapToGrid/>
        <w:spacing w:line="480" w:lineRule="exact"/>
        <w:ind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2.1</w:t>
      </w:r>
      <w:r>
        <w:rPr>
          <w:rFonts w:hint="eastAsia" w:ascii="宋体" w:hAnsi="宋体" w:eastAsia="宋体" w:cs="宋体"/>
          <w:bCs/>
          <w:color w:val="auto"/>
          <w:kern w:val="0"/>
          <w:sz w:val="24"/>
          <w:szCs w:val="24"/>
          <w:highlight w:val="none"/>
          <w:lang w:val="en-US" w:eastAsia="zh-CN"/>
        </w:rPr>
        <w:t>4</w:t>
      </w:r>
      <w:r>
        <w:rPr>
          <w:rFonts w:hint="eastAsia" w:ascii="宋体" w:hAnsi="宋体" w:eastAsia="宋体" w:cs="宋体"/>
          <w:bCs/>
          <w:color w:val="auto"/>
          <w:kern w:val="0"/>
          <w:sz w:val="24"/>
          <w:szCs w:val="24"/>
          <w:highlight w:val="none"/>
        </w:rPr>
        <w:t>.1合同使用汉语书就、变更和解释。</w:t>
      </w:r>
    </w:p>
    <w:p w14:paraId="5C7A34FB">
      <w:pPr>
        <w:keepNext w:val="0"/>
        <w:keepLines w:val="0"/>
        <w:pageBreakBefore w:val="0"/>
        <w:kinsoku/>
        <w:wordWrap/>
        <w:overflowPunct/>
        <w:topLinePunct w:val="0"/>
        <w:bidi w:val="0"/>
        <w:snapToGrid/>
        <w:spacing w:line="480" w:lineRule="exact"/>
        <w:ind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2.1</w:t>
      </w:r>
      <w:r>
        <w:rPr>
          <w:rFonts w:hint="eastAsia" w:ascii="宋体" w:hAnsi="宋体" w:eastAsia="宋体" w:cs="宋体"/>
          <w:bCs/>
          <w:color w:val="auto"/>
          <w:kern w:val="0"/>
          <w:sz w:val="24"/>
          <w:szCs w:val="24"/>
          <w:highlight w:val="none"/>
          <w:lang w:val="en-US" w:eastAsia="zh-CN"/>
        </w:rPr>
        <w:t>4</w:t>
      </w:r>
      <w:r>
        <w:rPr>
          <w:rFonts w:hint="eastAsia" w:ascii="宋体" w:hAnsi="宋体" w:eastAsia="宋体" w:cs="宋体"/>
          <w:bCs/>
          <w:color w:val="auto"/>
          <w:kern w:val="0"/>
          <w:sz w:val="24"/>
          <w:szCs w:val="24"/>
          <w:highlight w:val="none"/>
        </w:rPr>
        <w:t>.2合同适用中华人民共和国法律。</w:t>
      </w:r>
    </w:p>
    <w:p w14:paraId="2D6298DF">
      <w:pPr>
        <w:keepNext w:val="0"/>
        <w:keepLines w:val="0"/>
        <w:pageBreakBefore w:val="0"/>
        <w:kinsoku/>
        <w:wordWrap/>
        <w:overflowPunct/>
        <w:topLinePunct w:val="0"/>
        <w:bidi w:val="0"/>
        <w:snapToGrid/>
        <w:spacing w:line="480" w:lineRule="exact"/>
        <w:textAlignment w:val="auto"/>
        <w:rPr>
          <w:rFonts w:hint="eastAsia" w:ascii="宋体" w:hAnsi="宋体" w:eastAsia="宋体" w:cs="宋体"/>
          <w:bCs/>
          <w:color w:val="auto"/>
          <w:kern w:val="0"/>
          <w:sz w:val="24"/>
          <w:szCs w:val="24"/>
          <w:highlight w:val="none"/>
        </w:rPr>
      </w:pPr>
      <w:bookmarkStart w:id="260" w:name="_Toc30096"/>
      <w:bookmarkStart w:id="261" w:name="_Toc27127"/>
      <w:bookmarkStart w:id="262" w:name="_Toc27403"/>
      <w:bookmarkStart w:id="263" w:name="_Toc22266"/>
      <w:bookmarkStart w:id="264" w:name="_Toc279701264"/>
      <w:bookmarkStart w:id="265" w:name="_Toc487900374"/>
      <w:bookmarkStart w:id="266" w:name="_Toc259093693"/>
      <w:bookmarkStart w:id="267" w:name="_Toc1492"/>
      <w:r>
        <w:rPr>
          <w:rFonts w:hint="eastAsia" w:ascii="宋体" w:hAnsi="宋体" w:eastAsia="宋体" w:cs="宋体"/>
          <w:b/>
          <w:bCs/>
          <w:color w:val="auto"/>
          <w:kern w:val="0"/>
          <w:sz w:val="24"/>
          <w:szCs w:val="24"/>
          <w:highlight w:val="none"/>
        </w:rPr>
        <w:t>2.1</w:t>
      </w:r>
      <w:r>
        <w:rPr>
          <w:rFonts w:hint="eastAsia" w:ascii="宋体" w:hAnsi="宋体" w:eastAsia="宋体" w:cs="宋体"/>
          <w:b/>
          <w:bCs/>
          <w:color w:val="auto"/>
          <w:kern w:val="0"/>
          <w:sz w:val="24"/>
          <w:szCs w:val="24"/>
          <w:highlight w:val="none"/>
          <w:lang w:val="en-US" w:eastAsia="zh-CN"/>
        </w:rPr>
        <w:t>5</w:t>
      </w:r>
      <w:r>
        <w:rPr>
          <w:rFonts w:hint="eastAsia" w:ascii="宋体" w:hAnsi="宋体" w:eastAsia="宋体" w:cs="宋体"/>
          <w:b/>
          <w:bCs/>
          <w:color w:val="auto"/>
          <w:kern w:val="0"/>
          <w:sz w:val="24"/>
          <w:szCs w:val="24"/>
          <w:highlight w:val="none"/>
        </w:rPr>
        <w:t xml:space="preserve"> 履约保证金</w:t>
      </w:r>
      <w:bookmarkEnd w:id="260"/>
      <w:bookmarkEnd w:id="261"/>
      <w:bookmarkEnd w:id="262"/>
      <w:bookmarkEnd w:id="263"/>
      <w:bookmarkEnd w:id="264"/>
      <w:bookmarkEnd w:id="265"/>
      <w:bookmarkEnd w:id="266"/>
      <w:bookmarkEnd w:id="267"/>
      <w:bookmarkStart w:id="268" w:name="_Toc331685784"/>
    </w:p>
    <w:p w14:paraId="2256F290">
      <w:pPr>
        <w:keepNext w:val="0"/>
        <w:keepLines w:val="0"/>
        <w:pageBreakBefore w:val="0"/>
        <w:kinsoku/>
        <w:wordWrap/>
        <w:overflowPunct/>
        <w:topLinePunct w:val="0"/>
        <w:bidi w:val="0"/>
        <w:snapToGrid/>
        <w:spacing w:line="480" w:lineRule="exact"/>
        <w:ind w:firstLine="480" w:firstLineChars="200"/>
        <w:textAlignment w:val="auto"/>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无</w:t>
      </w:r>
    </w:p>
    <w:p w14:paraId="34CD8CAB">
      <w:pPr>
        <w:keepNext w:val="0"/>
        <w:keepLines w:val="0"/>
        <w:pageBreakBefore w:val="0"/>
        <w:kinsoku/>
        <w:wordWrap/>
        <w:overflowPunct/>
        <w:topLinePunct w:val="0"/>
        <w:bidi w:val="0"/>
        <w:snapToGrid/>
        <w:spacing w:line="480" w:lineRule="exact"/>
        <w:jc w:val="center"/>
        <w:textAlignment w:val="auto"/>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第三部分  合同专用条款</w:t>
      </w:r>
      <w:bookmarkEnd w:id="268"/>
    </w:p>
    <w:p w14:paraId="6E2A0E59">
      <w:pPr>
        <w:keepNext w:val="0"/>
        <w:keepLines w:val="0"/>
        <w:pageBreakBefore w:val="0"/>
        <w:widowControl/>
        <w:kinsoku/>
        <w:wordWrap/>
        <w:overflowPunct/>
        <w:topLinePunct w:val="0"/>
        <w:bidi w:val="0"/>
        <w:snapToGrid/>
        <w:spacing w:line="480" w:lineRule="exact"/>
        <w:ind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本部分是对前两部分的补充和修改，如果前两部分和本部分的约定不一致，应以本部分的约定为准。本部分的条款号应与前两部分的条款号保持对应；与前两部分无对应关系的内容可另行编制条款号。</w:t>
      </w:r>
    </w:p>
    <w:tbl>
      <w:tblPr>
        <w:tblStyle w:val="54"/>
        <w:tblW w:w="9667"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162"/>
        <w:gridCol w:w="8505"/>
      </w:tblGrid>
      <w:tr w14:paraId="1BEAA6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567" w:hRule="atLeast"/>
        </w:trPr>
        <w:tc>
          <w:tcPr>
            <w:tcW w:w="1162" w:type="dxa"/>
            <w:tcBorders>
              <w:left w:val="single" w:color="auto" w:sz="4" w:space="0"/>
            </w:tcBorders>
            <w:vAlign w:val="center"/>
          </w:tcPr>
          <w:p w14:paraId="59E29FFB">
            <w:pPr>
              <w:widowControl/>
              <w:spacing w:line="480" w:lineRule="exact"/>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条款号</w:t>
            </w:r>
          </w:p>
        </w:tc>
        <w:tc>
          <w:tcPr>
            <w:tcW w:w="8505" w:type="dxa"/>
            <w:vAlign w:val="center"/>
          </w:tcPr>
          <w:p w14:paraId="615D620E">
            <w:pPr>
              <w:widowControl/>
              <w:spacing w:line="480" w:lineRule="exact"/>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约定内容</w:t>
            </w:r>
          </w:p>
        </w:tc>
      </w:tr>
      <w:tr w14:paraId="3763ED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trPr>
        <w:tc>
          <w:tcPr>
            <w:tcW w:w="1162" w:type="dxa"/>
            <w:tcBorders>
              <w:left w:val="single" w:color="auto" w:sz="4" w:space="0"/>
            </w:tcBorders>
            <w:vAlign w:val="center"/>
          </w:tcPr>
          <w:p w14:paraId="7F3EB2D8">
            <w:pPr>
              <w:widowControl/>
              <w:spacing w:line="480" w:lineRule="exact"/>
              <w:jc w:val="center"/>
              <w:rPr>
                <w:rFonts w:hint="eastAsia" w:ascii="宋体" w:hAnsi="宋体" w:eastAsia="宋体" w:cs="宋体"/>
                <w:bCs/>
                <w:color w:val="auto"/>
                <w:kern w:val="0"/>
                <w:sz w:val="24"/>
                <w:szCs w:val="24"/>
                <w:highlight w:val="none"/>
              </w:rPr>
            </w:pPr>
          </w:p>
        </w:tc>
        <w:tc>
          <w:tcPr>
            <w:tcW w:w="8505" w:type="dxa"/>
            <w:vAlign w:val="center"/>
          </w:tcPr>
          <w:p w14:paraId="3DDFB432">
            <w:pPr>
              <w:widowControl/>
              <w:rPr>
                <w:rFonts w:hint="eastAsia" w:ascii="宋体" w:hAnsi="宋体" w:eastAsia="宋体" w:cs="宋体"/>
                <w:color w:val="auto"/>
                <w:sz w:val="24"/>
                <w:szCs w:val="24"/>
                <w:highlight w:val="none"/>
              </w:rPr>
            </w:pPr>
          </w:p>
        </w:tc>
      </w:tr>
      <w:tr w14:paraId="72A921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trPr>
        <w:tc>
          <w:tcPr>
            <w:tcW w:w="1162" w:type="dxa"/>
            <w:tcBorders>
              <w:left w:val="single" w:color="auto" w:sz="4" w:space="0"/>
            </w:tcBorders>
            <w:vAlign w:val="center"/>
          </w:tcPr>
          <w:p w14:paraId="6E59D482">
            <w:pPr>
              <w:widowControl/>
              <w:spacing w:line="480" w:lineRule="exact"/>
              <w:jc w:val="center"/>
              <w:rPr>
                <w:rFonts w:hint="eastAsia" w:ascii="宋体" w:hAnsi="宋体" w:eastAsia="宋体" w:cs="宋体"/>
                <w:bCs/>
                <w:color w:val="auto"/>
                <w:kern w:val="0"/>
                <w:sz w:val="24"/>
                <w:szCs w:val="24"/>
                <w:highlight w:val="none"/>
              </w:rPr>
            </w:pPr>
          </w:p>
        </w:tc>
        <w:tc>
          <w:tcPr>
            <w:tcW w:w="8505" w:type="dxa"/>
            <w:vAlign w:val="center"/>
          </w:tcPr>
          <w:p w14:paraId="402BD83D">
            <w:pPr>
              <w:widowControl/>
              <w:spacing w:line="420" w:lineRule="exact"/>
              <w:rPr>
                <w:rFonts w:hint="eastAsia" w:ascii="宋体" w:hAnsi="宋体" w:eastAsia="宋体" w:cs="宋体"/>
                <w:color w:val="auto"/>
                <w:sz w:val="24"/>
                <w:szCs w:val="24"/>
                <w:highlight w:val="none"/>
              </w:rPr>
            </w:pPr>
          </w:p>
        </w:tc>
      </w:tr>
    </w:tbl>
    <w:p w14:paraId="342D944D">
      <w:pPr>
        <w:widowControl/>
        <w:autoSpaceDE w:val="0"/>
        <w:autoSpaceDN w:val="0"/>
        <w:adjustRightInd w:val="0"/>
        <w:spacing w:line="440" w:lineRule="exact"/>
        <w:rPr>
          <w:rFonts w:hint="eastAsia" w:ascii="宋体" w:hAnsi="宋体" w:eastAsia="宋体" w:cs="宋体"/>
          <w:bCs/>
          <w:color w:val="auto"/>
          <w:kern w:val="0"/>
          <w:sz w:val="24"/>
          <w:szCs w:val="24"/>
          <w:highlight w:val="none"/>
        </w:rPr>
      </w:pPr>
    </w:p>
    <w:p w14:paraId="1481F8A2">
      <w:pPr>
        <w:widowControl/>
        <w:autoSpaceDE w:val="0"/>
        <w:autoSpaceDN w:val="0"/>
        <w:adjustRightInd w:val="0"/>
        <w:spacing w:line="440" w:lineRule="exact"/>
        <w:rPr>
          <w:rFonts w:hint="eastAsia" w:ascii="宋体" w:hAnsi="宋体" w:eastAsia="宋体" w:cs="宋体"/>
          <w:bCs/>
          <w:color w:val="auto"/>
          <w:kern w:val="0"/>
          <w:sz w:val="24"/>
          <w:szCs w:val="24"/>
          <w:highlight w:val="none"/>
          <w:lang w:val="zh-CN"/>
        </w:rPr>
      </w:pPr>
      <w:r>
        <w:rPr>
          <w:rFonts w:hint="eastAsia" w:ascii="宋体" w:hAnsi="宋体" w:eastAsia="宋体" w:cs="宋体"/>
          <w:bCs/>
          <w:color w:val="auto"/>
          <w:kern w:val="0"/>
          <w:sz w:val="24"/>
          <w:szCs w:val="24"/>
          <w:highlight w:val="none"/>
          <w:lang w:val="zh-CN"/>
        </w:rPr>
        <w:t>甲方（盖章）：                         乙方（盖章）：</w:t>
      </w:r>
    </w:p>
    <w:p w14:paraId="1A7E40A7">
      <w:pPr>
        <w:widowControl/>
        <w:autoSpaceDE w:val="0"/>
        <w:autoSpaceDN w:val="0"/>
        <w:adjustRightInd w:val="0"/>
        <w:spacing w:line="440" w:lineRule="exact"/>
        <w:rPr>
          <w:rFonts w:hint="eastAsia" w:ascii="宋体" w:hAnsi="宋体" w:eastAsia="宋体" w:cs="宋体"/>
          <w:bCs/>
          <w:color w:val="auto"/>
          <w:kern w:val="0"/>
          <w:sz w:val="24"/>
          <w:szCs w:val="24"/>
          <w:highlight w:val="none"/>
          <w:lang w:val="zh-CN"/>
        </w:rPr>
      </w:pPr>
      <w:r>
        <w:rPr>
          <w:rFonts w:hint="eastAsia" w:ascii="宋体" w:hAnsi="宋体" w:eastAsia="宋体" w:cs="宋体"/>
          <w:bCs/>
          <w:color w:val="auto"/>
          <w:kern w:val="0"/>
          <w:sz w:val="24"/>
          <w:szCs w:val="24"/>
          <w:highlight w:val="none"/>
          <w:lang w:val="zh-CN"/>
        </w:rPr>
        <w:t>法定代表人（签名）：                   法定代表人（签名）：</w:t>
      </w:r>
    </w:p>
    <w:p w14:paraId="58436EC5">
      <w:pPr>
        <w:widowControl/>
        <w:autoSpaceDE w:val="0"/>
        <w:autoSpaceDN w:val="0"/>
        <w:adjustRightInd w:val="0"/>
        <w:spacing w:line="440" w:lineRule="exact"/>
        <w:rPr>
          <w:rFonts w:hint="eastAsia" w:ascii="宋体" w:hAnsi="宋体" w:eastAsia="宋体" w:cs="宋体"/>
          <w:bCs/>
          <w:color w:val="auto"/>
          <w:kern w:val="0"/>
          <w:sz w:val="24"/>
          <w:szCs w:val="24"/>
          <w:highlight w:val="none"/>
          <w:lang w:val="zh-CN"/>
        </w:rPr>
      </w:pPr>
      <w:r>
        <w:rPr>
          <w:rFonts w:hint="eastAsia" w:ascii="宋体" w:hAnsi="宋体" w:eastAsia="宋体" w:cs="宋体"/>
          <w:bCs/>
          <w:color w:val="auto"/>
          <w:kern w:val="0"/>
          <w:sz w:val="24"/>
          <w:szCs w:val="24"/>
          <w:highlight w:val="none"/>
          <w:lang w:val="zh-CN"/>
        </w:rPr>
        <w:t>或委托代理人（签名）：                 或委托代理人（签名）：</w:t>
      </w:r>
    </w:p>
    <w:p w14:paraId="61839E3E">
      <w:pPr>
        <w:widowControl/>
        <w:autoSpaceDE w:val="0"/>
        <w:autoSpaceDN w:val="0"/>
        <w:adjustRightInd w:val="0"/>
        <w:spacing w:line="440" w:lineRule="exact"/>
        <w:rPr>
          <w:rFonts w:hint="eastAsia" w:ascii="宋体" w:hAnsi="宋体" w:eastAsia="宋体" w:cs="宋体"/>
          <w:bCs/>
          <w:color w:val="auto"/>
          <w:kern w:val="0"/>
          <w:sz w:val="24"/>
          <w:szCs w:val="24"/>
          <w:highlight w:val="none"/>
          <w:lang w:val="zh-CN"/>
        </w:rPr>
      </w:pPr>
      <w:r>
        <w:rPr>
          <w:rFonts w:hint="eastAsia" w:ascii="宋体" w:hAnsi="宋体" w:eastAsia="宋体" w:cs="宋体"/>
          <w:bCs/>
          <w:color w:val="auto"/>
          <w:kern w:val="0"/>
          <w:sz w:val="24"/>
          <w:szCs w:val="24"/>
          <w:highlight w:val="none"/>
          <w:lang w:val="zh-CN"/>
        </w:rPr>
        <w:t xml:space="preserve">联系人：                             </w:t>
      </w:r>
      <w:r>
        <w:rPr>
          <w:rFonts w:hint="eastAsia" w:ascii="宋体" w:hAnsi="宋体" w:eastAsia="宋体" w:cs="宋体"/>
          <w:bCs/>
          <w:color w:val="auto"/>
          <w:kern w:val="0"/>
          <w:sz w:val="24"/>
          <w:szCs w:val="24"/>
          <w:highlight w:val="none"/>
        </w:rPr>
        <w:t xml:space="preserve"> </w:t>
      </w:r>
      <w:r>
        <w:rPr>
          <w:rFonts w:hint="eastAsia" w:ascii="宋体" w:hAnsi="宋体" w:eastAsia="宋体" w:cs="宋体"/>
          <w:bCs/>
          <w:color w:val="auto"/>
          <w:kern w:val="0"/>
          <w:sz w:val="24"/>
          <w:szCs w:val="24"/>
          <w:highlight w:val="none"/>
          <w:lang w:val="zh-CN"/>
        </w:rPr>
        <w:t xml:space="preserve"> 联系人：</w:t>
      </w:r>
    </w:p>
    <w:p w14:paraId="3DB54479">
      <w:pPr>
        <w:widowControl/>
        <w:autoSpaceDE w:val="0"/>
        <w:autoSpaceDN w:val="0"/>
        <w:adjustRightInd w:val="0"/>
        <w:spacing w:line="440" w:lineRule="exact"/>
        <w:rPr>
          <w:rFonts w:hint="eastAsia" w:ascii="宋体" w:hAnsi="宋体" w:eastAsia="宋体" w:cs="宋体"/>
          <w:bCs/>
          <w:color w:val="auto"/>
          <w:kern w:val="0"/>
          <w:sz w:val="24"/>
          <w:szCs w:val="24"/>
          <w:highlight w:val="none"/>
          <w:lang w:val="zh-CN"/>
        </w:rPr>
      </w:pPr>
      <w:r>
        <w:rPr>
          <w:rFonts w:hint="eastAsia" w:ascii="宋体" w:hAnsi="宋体" w:eastAsia="宋体" w:cs="宋体"/>
          <w:bCs/>
          <w:color w:val="auto"/>
          <w:kern w:val="0"/>
          <w:sz w:val="24"/>
          <w:szCs w:val="24"/>
          <w:highlight w:val="none"/>
          <w:lang w:val="zh-CN"/>
        </w:rPr>
        <w:t xml:space="preserve">地址：                                </w:t>
      </w:r>
      <w:r>
        <w:rPr>
          <w:rFonts w:hint="eastAsia" w:ascii="宋体" w:hAnsi="宋体" w:eastAsia="宋体" w:cs="宋体"/>
          <w:bCs/>
          <w:color w:val="auto"/>
          <w:kern w:val="0"/>
          <w:sz w:val="24"/>
          <w:szCs w:val="24"/>
          <w:highlight w:val="none"/>
        </w:rPr>
        <w:t xml:space="preserve"> </w:t>
      </w:r>
      <w:r>
        <w:rPr>
          <w:rFonts w:hint="eastAsia" w:ascii="宋体" w:hAnsi="宋体" w:eastAsia="宋体" w:cs="宋体"/>
          <w:bCs/>
          <w:color w:val="auto"/>
          <w:kern w:val="0"/>
          <w:sz w:val="24"/>
          <w:szCs w:val="24"/>
          <w:highlight w:val="none"/>
          <w:lang w:val="zh-CN"/>
        </w:rPr>
        <w:t>地址：</w:t>
      </w:r>
    </w:p>
    <w:p w14:paraId="72316C2D">
      <w:pPr>
        <w:widowControl/>
        <w:autoSpaceDE w:val="0"/>
        <w:autoSpaceDN w:val="0"/>
        <w:adjustRightInd w:val="0"/>
        <w:spacing w:line="440" w:lineRule="exact"/>
        <w:rPr>
          <w:rFonts w:hint="eastAsia" w:ascii="宋体" w:hAnsi="宋体" w:eastAsia="宋体" w:cs="宋体"/>
          <w:bCs/>
          <w:color w:val="auto"/>
          <w:kern w:val="0"/>
          <w:sz w:val="24"/>
          <w:szCs w:val="24"/>
          <w:highlight w:val="none"/>
          <w:lang w:val="zh-CN"/>
        </w:rPr>
      </w:pPr>
      <w:r>
        <w:rPr>
          <w:rFonts w:hint="eastAsia" w:ascii="宋体" w:hAnsi="宋体" w:eastAsia="宋体" w:cs="宋体"/>
          <w:bCs/>
          <w:color w:val="auto"/>
          <w:kern w:val="0"/>
          <w:sz w:val="24"/>
          <w:szCs w:val="24"/>
          <w:highlight w:val="none"/>
          <w:lang w:val="zh-CN"/>
        </w:rPr>
        <w:t xml:space="preserve">电话：                                </w:t>
      </w:r>
      <w:r>
        <w:rPr>
          <w:rFonts w:hint="eastAsia" w:ascii="宋体" w:hAnsi="宋体" w:eastAsia="宋体" w:cs="宋体"/>
          <w:bCs/>
          <w:color w:val="auto"/>
          <w:kern w:val="0"/>
          <w:sz w:val="24"/>
          <w:szCs w:val="24"/>
          <w:highlight w:val="none"/>
        </w:rPr>
        <w:t xml:space="preserve"> </w:t>
      </w:r>
      <w:r>
        <w:rPr>
          <w:rFonts w:hint="eastAsia" w:ascii="宋体" w:hAnsi="宋体" w:eastAsia="宋体" w:cs="宋体"/>
          <w:bCs/>
          <w:color w:val="auto"/>
          <w:kern w:val="0"/>
          <w:sz w:val="24"/>
          <w:szCs w:val="24"/>
          <w:highlight w:val="none"/>
          <w:lang w:val="zh-CN"/>
        </w:rPr>
        <w:t>电话：</w:t>
      </w:r>
    </w:p>
    <w:p w14:paraId="0A87F642">
      <w:pPr>
        <w:widowControl/>
        <w:autoSpaceDE w:val="0"/>
        <w:autoSpaceDN w:val="0"/>
        <w:adjustRightInd w:val="0"/>
        <w:spacing w:line="440" w:lineRule="exact"/>
        <w:rPr>
          <w:rFonts w:hint="eastAsia" w:ascii="宋体" w:hAnsi="宋体" w:eastAsia="宋体" w:cs="宋体"/>
          <w:bCs/>
          <w:color w:val="auto"/>
          <w:kern w:val="0"/>
          <w:sz w:val="24"/>
          <w:szCs w:val="24"/>
          <w:highlight w:val="none"/>
          <w:lang w:val="zh-CN"/>
        </w:rPr>
      </w:pPr>
      <w:r>
        <w:rPr>
          <w:rFonts w:hint="eastAsia" w:ascii="宋体" w:hAnsi="宋体" w:eastAsia="宋体" w:cs="宋体"/>
          <w:bCs/>
          <w:color w:val="auto"/>
          <w:kern w:val="0"/>
          <w:sz w:val="24"/>
          <w:szCs w:val="24"/>
          <w:highlight w:val="none"/>
          <w:lang w:val="zh-CN"/>
        </w:rPr>
        <w:t xml:space="preserve">传真：                                </w:t>
      </w:r>
      <w:r>
        <w:rPr>
          <w:rFonts w:hint="eastAsia" w:ascii="宋体" w:hAnsi="宋体" w:eastAsia="宋体" w:cs="宋体"/>
          <w:bCs/>
          <w:color w:val="auto"/>
          <w:kern w:val="0"/>
          <w:sz w:val="24"/>
          <w:szCs w:val="24"/>
          <w:highlight w:val="none"/>
        </w:rPr>
        <w:t xml:space="preserve"> </w:t>
      </w:r>
      <w:r>
        <w:rPr>
          <w:rFonts w:hint="eastAsia" w:ascii="宋体" w:hAnsi="宋体" w:eastAsia="宋体" w:cs="宋体"/>
          <w:bCs/>
          <w:color w:val="auto"/>
          <w:kern w:val="0"/>
          <w:sz w:val="24"/>
          <w:szCs w:val="24"/>
          <w:highlight w:val="none"/>
          <w:lang w:val="zh-CN"/>
        </w:rPr>
        <w:t>传真：</w:t>
      </w:r>
    </w:p>
    <w:p w14:paraId="207906D7">
      <w:pPr>
        <w:widowControl/>
        <w:autoSpaceDE w:val="0"/>
        <w:autoSpaceDN w:val="0"/>
        <w:adjustRightInd w:val="0"/>
        <w:spacing w:line="440" w:lineRule="exact"/>
        <w:rPr>
          <w:rFonts w:hint="eastAsia" w:ascii="宋体" w:hAnsi="宋体" w:eastAsia="宋体" w:cs="宋体"/>
          <w:bCs/>
          <w:color w:val="auto"/>
          <w:kern w:val="0"/>
          <w:sz w:val="24"/>
          <w:szCs w:val="24"/>
          <w:highlight w:val="none"/>
          <w:lang w:val="zh-CN"/>
        </w:rPr>
      </w:pPr>
      <w:r>
        <w:rPr>
          <w:rFonts w:hint="eastAsia" w:ascii="宋体" w:hAnsi="宋体" w:eastAsia="宋体" w:cs="宋体"/>
          <w:bCs/>
          <w:color w:val="auto"/>
          <w:kern w:val="0"/>
          <w:sz w:val="24"/>
          <w:szCs w:val="24"/>
          <w:highlight w:val="none"/>
          <w:lang w:val="zh-CN"/>
        </w:rPr>
        <w:t xml:space="preserve">开户银行：                            </w:t>
      </w:r>
      <w:r>
        <w:rPr>
          <w:rFonts w:hint="eastAsia" w:ascii="宋体" w:hAnsi="宋体" w:eastAsia="宋体" w:cs="宋体"/>
          <w:bCs/>
          <w:color w:val="auto"/>
          <w:kern w:val="0"/>
          <w:sz w:val="24"/>
          <w:szCs w:val="24"/>
          <w:highlight w:val="none"/>
        </w:rPr>
        <w:t xml:space="preserve"> </w:t>
      </w:r>
      <w:r>
        <w:rPr>
          <w:rFonts w:hint="eastAsia" w:ascii="宋体" w:hAnsi="宋体" w:eastAsia="宋体" w:cs="宋体"/>
          <w:bCs/>
          <w:color w:val="auto"/>
          <w:kern w:val="0"/>
          <w:sz w:val="24"/>
          <w:szCs w:val="24"/>
          <w:highlight w:val="none"/>
          <w:lang w:val="zh-CN"/>
        </w:rPr>
        <w:t>开户银行：</w:t>
      </w:r>
    </w:p>
    <w:p w14:paraId="08DEA7EB">
      <w:pPr>
        <w:widowControl/>
        <w:autoSpaceDE w:val="0"/>
        <w:autoSpaceDN w:val="0"/>
        <w:adjustRightInd w:val="0"/>
        <w:spacing w:line="440" w:lineRule="exact"/>
        <w:rPr>
          <w:rFonts w:hint="eastAsia" w:ascii="宋体" w:hAnsi="宋体" w:eastAsia="宋体" w:cs="宋体"/>
          <w:bCs/>
          <w:color w:val="auto"/>
          <w:kern w:val="0"/>
          <w:sz w:val="24"/>
          <w:szCs w:val="24"/>
          <w:highlight w:val="none"/>
          <w:lang w:val="zh-CN"/>
        </w:rPr>
      </w:pPr>
      <w:r>
        <w:rPr>
          <w:rFonts w:hint="eastAsia" w:ascii="宋体" w:hAnsi="宋体" w:eastAsia="宋体" w:cs="宋体"/>
          <w:bCs/>
          <w:color w:val="auto"/>
          <w:kern w:val="0"/>
          <w:sz w:val="24"/>
          <w:szCs w:val="24"/>
          <w:highlight w:val="none"/>
          <w:lang w:val="zh-CN"/>
        </w:rPr>
        <w:t xml:space="preserve">银行账号：                            </w:t>
      </w:r>
      <w:r>
        <w:rPr>
          <w:rFonts w:hint="eastAsia" w:ascii="宋体" w:hAnsi="宋体" w:eastAsia="宋体" w:cs="宋体"/>
          <w:bCs/>
          <w:color w:val="auto"/>
          <w:kern w:val="0"/>
          <w:sz w:val="24"/>
          <w:szCs w:val="24"/>
          <w:highlight w:val="none"/>
        </w:rPr>
        <w:t xml:space="preserve"> </w:t>
      </w:r>
      <w:r>
        <w:rPr>
          <w:rFonts w:hint="eastAsia" w:ascii="宋体" w:hAnsi="宋体" w:eastAsia="宋体" w:cs="宋体"/>
          <w:bCs/>
          <w:color w:val="auto"/>
          <w:kern w:val="0"/>
          <w:sz w:val="24"/>
          <w:szCs w:val="24"/>
          <w:highlight w:val="none"/>
          <w:lang w:val="zh-CN"/>
        </w:rPr>
        <w:t>银行账号：</w:t>
      </w:r>
    </w:p>
    <w:p w14:paraId="169D175D">
      <w:pPr>
        <w:rPr>
          <w:rFonts w:hint="eastAsia" w:ascii="宋体" w:hAnsi="宋体" w:eastAsia="宋体" w:cs="宋体"/>
          <w:color w:val="auto"/>
          <w:highlight w:val="none"/>
        </w:rPr>
      </w:pPr>
      <w:r>
        <w:rPr>
          <w:rFonts w:hint="eastAsia" w:ascii="宋体" w:hAnsi="宋体" w:eastAsia="宋体" w:cs="宋体"/>
          <w:bCs/>
          <w:color w:val="auto"/>
          <w:kern w:val="0"/>
          <w:sz w:val="24"/>
          <w:szCs w:val="24"/>
          <w:highlight w:val="none"/>
          <w:lang w:val="zh-CN"/>
        </w:rPr>
        <w:t xml:space="preserve">社会统一信用代码:                      </w:t>
      </w:r>
      <w:r>
        <w:rPr>
          <w:rFonts w:hint="eastAsia" w:ascii="宋体" w:hAnsi="宋体" w:eastAsia="宋体" w:cs="宋体"/>
          <w:bCs/>
          <w:color w:val="auto"/>
          <w:kern w:val="0"/>
          <w:sz w:val="24"/>
          <w:szCs w:val="24"/>
          <w:highlight w:val="none"/>
        </w:rPr>
        <w:t xml:space="preserve"> </w:t>
      </w:r>
      <w:r>
        <w:rPr>
          <w:rFonts w:hint="eastAsia" w:ascii="宋体" w:hAnsi="宋体" w:eastAsia="宋体" w:cs="宋体"/>
          <w:bCs/>
          <w:color w:val="auto"/>
          <w:kern w:val="0"/>
          <w:sz w:val="24"/>
          <w:szCs w:val="24"/>
          <w:highlight w:val="none"/>
          <w:lang w:val="zh-CN"/>
        </w:rPr>
        <w:t>社会统一信用代码：</w:t>
      </w:r>
    </w:p>
    <w:p w14:paraId="2399AC08">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322ABBDD">
      <w:pPr>
        <w:pStyle w:val="2"/>
        <w:rPr>
          <w:rFonts w:hint="eastAsia" w:ascii="宋体" w:hAnsi="宋体" w:eastAsia="宋体" w:cs="宋体"/>
          <w:color w:val="auto"/>
          <w:highlight w:val="none"/>
        </w:rPr>
      </w:pPr>
      <w:bookmarkStart w:id="269" w:name="_Toc26204"/>
      <w:r>
        <w:rPr>
          <w:rFonts w:hint="eastAsia" w:ascii="宋体" w:hAnsi="宋体" w:eastAsia="宋体" w:cs="宋体"/>
          <w:color w:val="auto"/>
          <w:highlight w:val="none"/>
        </w:rPr>
        <w:t>第四章 采购需求</w:t>
      </w:r>
      <w:bookmarkEnd w:id="102"/>
      <w:bookmarkEnd w:id="103"/>
      <w:bookmarkEnd w:id="104"/>
      <w:bookmarkEnd w:id="269"/>
    </w:p>
    <w:p w14:paraId="18F0FB28">
      <w:pPr>
        <w:spacing w:line="440" w:lineRule="exact"/>
        <w:rPr>
          <w:rFonts w:hint="eastAsia" w:ascii="宋体" w:hAnsi="宋体" w:eastAsia="宋体" w:cs="宋体"/>
          <w:b/>
          <w:bCs/>
          <w:color w:val="auto"/>
          <w:sz w:val="28"/>
          <w:highlight w:val="none"/>
          <w:lang w:eastAsia="zh-CN"/>
        </w:rPr>
      </w:pPr>
      <w:bookmarkStart w:id="270" w:name="_Toc315868060"/>
      <w:bookmarkStart w:id="271" w:name="_Toc315875323"/>
      <w:bookmarkStart w:id="272" w:name="_Toc158691776"/>
      <w:r>
        <w:rPr>
          <w:rFonts w:hint="eastAsia" w:ascii="宋体" w:hAnsi="宋体" w:eastAsia="宋体" w:cs="宋体"/>
          <w:b/>
          <w:bCs/>
          <w:color w:val="auto"/>
          <w:sz w:val="28"/>
          <w:highlight w:val="none"/>
        </w:rPr>
        <w:t>项目名称：</w:t>
      </w:r>
      <w:r>
        <w:rPr>
          <w:rFonts w:hint="eastAsia" w:ascii="宋体" w:hAnsi="宋体" w:eastAsia="宋体" w:cs="宋体"/>
          <w:b/>
          <w:color w:val="auto"/>
          <w:sz w:val="28"/>
          <w:szCs w:val="28"/>
          <w:highlight w:val="none"/>
          <w:lang w:eastAsia="zh-CN"/>
        </w:rPr>
        <w:t>2026年古里镇雨污水管网养护及零星维修项目</w:t>
      </w:r>
    </w:p>
    <w:p w14:paraId="4FA2E314">
      <w:pPr>
        <w:spacing w:line="440" w:lineRule="exact"/>
        <w:rPr>
          <w:rFonts w:hint="eastAsia" w:ascii="宋体" w:hAnsi="宋体" w:eastAsia="宋体" w:cs="宋体"/>
          <w:b/>
          <w:bCs/>
          <w:color w:val="auto"/>
          <w:sz w:val="28"/>
          <w:highlight w:val="none"/>
          <w:lang w:eastAsia="zh-CN"/>
        </w:rPr>
      </w:pPr>
      <w:r>
        <w:rPr>
          <w:rFonts w:hint="eastAsia" w:ascii="宋体" w:hAnsi="宋体" w:eastAsia="宋体" w:cs="宋体"/>
          <w:b/>
          <w:bCs/>
          <w:color w:val="auto"/>
          <w:sz w:val="28"/>
          <w:highlight w:val="none"/>
        </w:rPr>
        <w:t>项目编号：</w:t>
      </w:r>
      <w:r>
        <w:rPr>
          <w:rFonts w:hint="eastAsia" w:ascii="宋体" w:hAnsi="宋体" w:cs="宋体"/>
          <w:b/>
          <w:bCs/>
          <w:color w:val="auto"/>
          <w:sz w:val="28"/>
          <w:highlight w:val="none"/>
          <w:lang w:eastAsia="zh-CN"/>
        </w:rPr>
        <w:t>JSZC-320581-HXGW-G2025-0077</w:t>
      </w:r>
    </w:p>
    <w:p w14:paraId="75F10ADC">
      <w:pPr>
        <w:spacing w:line="440" w:lineRule="exact"/>
        <w:rPr>
          <w:rFonts w:hint="eastAsia" w:ascii="宋体" w:hAnsi="宋体" w:eastAsia="宋体" w:cs="宋体"/>
          <w:b/>
          <w:bCs/>
          <w:color w:val="auto"/>
          <w:sz w:val="28"/>
          <w:highlight w:val="none"/>
          <w:lang w:eastAsia="zh-CN"/>
        </w:rPr>
      </w:pPr>
      <w:r>
        <w:rPr>
          <w:rFonts w:hint="eastAsia" w:ascii="宋体" w:hAnsi="宋体" w:eastAsia="宋体" w:cs="宋体"/>
          <w:b/>
          <w:bCs/>
          <w:color w:val="auto"/>
          <w:sz w:val="28"/>
          <w:highlight w:val="none"/>
        </w:rPr>
        <w:t>采购人：</w:t>
      </w:r>
      <w:r>
        <w:rPr>
          <w:rFonts w:hint="eastAsia" w:ascii="宋体" w:hAnsi="宋体" w:eastAsia="宋体" w:cs="宋体"/>
          <w:b/>
          <w:bCs/>
          <w:color w:val="auto"/>
          <w:sz w:val="28"/>
          <w:highlight w:val="none"/>
          <w:lang w:eastAsia="zh-CN"/>
        </w:rPr>
        <w:t>常熟市古里镇人民政府</w:t>
      </w:r>
    </w:p>
    <w:p w14:paraId="58079A4C">
      <w:pPr>
        <w:spacing w:line="46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一、项目说明：</w:t>
      </w:r>
    </w:p>
    <w:p w14:paraId="025AF748">
      <w:pPr>
        <w:autoSpaceDE w:val="0"/>
        <w:autoSpaceDN w:val="0"/>
        <w:adjustRightInd w:val="0"/>
        <w:spacing w:line="440" w:lineRule="exact"/>
        <w:ind w:firstLine="240" w:firstLineChars="100"/>
        <w:rPr>
          <w:rFonts w:hint="eastAsia" w:ascii="宋体" w:hAnsi="宋体" w:eastAsia="宋体" w:cs="宋体"/>
          <w:color w:val="auto"/>
          <w:sz w:val="24"/>
          <w:szCs w:val="24"/>
          <w:highlight w:val="none"/>
          <w:lang w:val="zh-CN"/>
        </w:rPr>
      </w:pPr>
      <w:bookmarkStart w:id="273" w:name="_Toc89524316"/>
      <w:r>
        <w:rPr>
          <w:rFonts w:hint="eastAsia" w:ascii="宋体" w:hAnsi="宋体" w:eastAsia="宋体" w:cs="宋体"/>
          <w:color w:val="auto"/>
          <w:sz w:val="24"/>
          <w:szCs w:val="24"/>
          <w:highlight w:val="none"/>
          <w:lang w:val="zh-CN"/>
        </w:rPr>
        <w:t>1、项目概况：</w:t>
      </w:r>
      <w:r>
        <w:rPr>
          <w:rFonts w:hint="eastAsia" w:ascii="宋体" w:hAnsi="宋体" w:eastAsia="宋体" w:cs="宋体"/>
          <w:color w:val="auto"/>
          <w:sz w:val="24"/>
          <w:szCs w:val="24"/>
          <w:highlight w:val="none"/>
        </w:rPr>
        <w:t>包括但不限于雨污水管道</w:t>
      </w:r>
      <w:r>
        <w:rPr>
          <w:rFonts w:hint="eastAsia" w:ascii="宋体" w:hAnsi="宋体" w:cs="宋体"/>
          <w:color w:val="auto"/>
          <w:sz w:val="24"/>
          <w:szCs w:val="24"/>
          <w:highlight w:val="none"/>
          <w:lang w:val="en-US" w:eastAsia="zh-CN"/>
        </w:rPr>
        <w:t>巡视、</w:t>
      </w:r>
      <w:r>
        <w:rPr>
          <w:rFonts w:hint="eastAsia" w:ascii="宋体" w:hAnsi="宋体" w:eastAsia="宋体" w:cs="宋体"/>
          <w:color w:val="auto"/>
          <w:sz w:val="24"/>
          <w:szCs w:val="24"/>
          <w:highlight w:val="none"/>
        </w:rPr>
        <w:t>检测、维护等。发包范围：包括但不限于古里镇古里、白茆、淼泉集镇区内小区、村庄、机关企事业单位、公建建筑、商业体、农贸市场等</w:t>
      </w:r>
      <w:r>
        <w:rPr>
          <w:rFonts w:hint="eastAsia" w:ascii="宋体" w:hAnsi="宋体" w:eastAsia="宋体" w:cs="宋体"/>
          <w:color w:val="auto"/>
          <w:sz w:val="24"/>
          <w:szCs w:val="24"/>
          <w:highlight w:val="none"/>
          <w:lang w:val="zh-CN"/>
        </w:rPr>
        <w:t>。</w:t>
      </w:r>
    </w:p>
    <w:p w14:paraId="63FFB616">
      <w:pPr>
        <w:autoSpaceDE w:val="0"/>
        <w:autoSpaceDN w:val="0"/>
        <w:adjustRightInd w:val="0"/>
        <w:spacing w:line="440" w:lineRule="exact"/>
        <w:ind w:firstLine="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投标人应对项目现场进行踏勘，但费用由投标人自行承担。投标人在投标时应充分考虑现场实际情况，采购人不负担因投标人对项目现场情况考虑不周而产生的其他任何费用。</w:t>
      </w:r>
    </w:p>
    <w:p w14:paraId="72E2DA2C">
      <w:pPr>
        <w:autoSpaceDE w:val="0"/>
        <w:autoSpaceDN w:val="0"/>
        <w:adjustRightInd w:val="0"/>
        <w:spacing w:line="440" w:lineRule="exact"/>
        <w:ind w:firstLine="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zh-CN"/>
        </w:rPr>
        <w:t>、服务地点：</w:t>
      </w:r>
      <w:r>
        <w:rPr>
          <w:rFonts w:hint="eastAsia" w:ascii="宋体" w:hAnsi="宋体" w:eastAsia="宋体" w:cs="宋体"/>
          <w:color w:val="auto"/>
          <w:sz w:val="24"/>
          <w:szCs w:val="24"/>
          <w:highlight w:val="none"/>
        </w:rPr>
        <w:t>常熟市</w:t>
      </w:r>
      <w:r>
        <w:rPr>
          <w:rFonts w:hint="eastAsia" w:ascii="宋体" w:hAnsi="宋体" w:eastAsia="宋体" w:cs="宋体"/>
          <w:color w:val="auto"/>
          <w:sz w:val="24"/>
          <w:szCs w:val="24"/>
          <w:highlight w:val="none"/>
          <w:lang w:val="en-US" w:eastAsia="zh-CN"/>
        </w:rPr>
        <w:t>古里镇</w:t>
      </w:r>
      <w:r>
        <w:rPr>
          <w:rFonts w:hint="eastAsia" w:ascii="宋体" w:hAnsi="宋体" w:eastAsia="宋体" w:cs="宋体"/>
          <w:color w:val="auto"/>
          <w:sz w:val="24"/>
          <w:szCs w:val="24"/>
          <w:highlight w:val="none"/>
          <w:lang w:val="zh-CN"/>
        </w:rPr>
        <w:t>。</w:t>
      </w:r>
    </w:p>
    <w:p w14:paraId="4F124E66">
      <w:pPr>
        <w:autoSpaceDE w:val="0"/>
        <w:autoSpaceDN w:val="0"/>
        <w:adjustRightInd w:val="0"/>
        <w:spacing w:line="44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4、服务期限：自合同签订之日起一年。</w:t>
      </w:r>
    </w:p>
    <w:p w14:paraId="1E9D6D16">
      <w:pPr>
        <w:autoSpaceDE w:val="0"/>
        <w:autoSpaceDN w:val="0"/>
        <w:adjustRightInd w:val="0"/>
        <w:spacing w:line="440" w:lineRule="exact"/>
        <w:ind w:firstLine="240" w:firstLineChars="1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5、规范要求：</w:t>
      </w:r>
      <w:r>
        <w:rPr>
          <w:rFonts w:hint="eastAsia" w:ascii="宋体" w:hAnsi="宋体" w:eastAsia="宋体" w:cs="宋体"/>
          <w:color w:val="auto"/>
          <w:sz w:val="24"/>
          <w:szCs w:val="24"/>
          <w:highlight w:val="none"/>
        </w:rPr>
        <w:t>参照《城镇排水管道维护安全技术规程》（CJJ6－2009）和《城镇排水管渠与泵站运行、维护及安全技术规程》（CJJ68—2016）等相关规定</w:t>
      </w:r>
      <w:r>
        <w:rPr>
          <w:rFonts w:hint="eastAsia" w:ascii="宋体" w:hAnsi="宋体" w:eastAsia="宋体" w:cs="宋体"/>
          <w:color w:val="auto"/>
          <w:sz w:val="24"/>
          <w:szCs w:val="24"/>
          <w:highlight w:val="none"/>
          <w:lang w:eastAsia="zh-CN"/>
        </w:rPr>
        <w:t>。</w:t>
      </w:r>
    </w:p>
    <w:p w14:paraId="68BFD97D">
      <w:pPr>
        <w:autoSpaceDE w:val="0"/>
        <w:autoSpaceDN w:val="0"/>
        <w:adjustRightInd w:val="0"/>
        <w:spacing w:line="440" w:lineRule="exact"/>
        <w:ind w:firstLine="241" w:firstLineChars="100"/>
        <w:rPr>
          <w:rFonts w:hint="eastAsia" w:ascii="宋体" w:hAnsi="宋体" w:eastAsia="宋体" w:cs="宋体"/>
          <w:color w:val="auto"/>
          <w:sz w:val="24"/>
          <w:szCs w:val="24"/>
          <w:highlight w:val="none"/>
          <w:lang w:val="zh-CN"/>
        </w:rPr>
      </w:pPr>
      <w:r>
        <w:rPr>
          <w:rFonts w:hint="eastAsia" w:ascii="宋体" w:hAnsi="宋体" w:eastAsia="宋体" w:cs="宋体"/>
          <w:b/>
          <w:bCs/>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val="zh-CN"/>
        </w:rPr>
        <w:t>、付款方式：</w:t>
      </w:r>
    </w:p>
    <w:p w14:paraId="6F7D2008">
      <w:pPr>
        <w:autoSpaceDE w:val="0"/>
        <w:autoSpaceDN w:val="0"/>
        <w:adjustRightInd w:val="0"/>
        <w:spacing w:line="440" w:lineRule="exact"/>
        <w:ind w:firstLine="360" w:firstLineChars="15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1 \* GB3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①</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合同签订后一个月内，</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向</w:t>
      </w:r>
      <w:r>
        <w:rPr>
          <w:rFonts w:hint="eastAsia" w:ascii="宋体" w:hAnsi="宋体" w:eastAsia="宋体" w:cs="宋体"/>
          <w:color w:val="auto"/>
          <w:sz w:val="24"/>
          <w:szCs w:val="24"/>
          <w:highlight w:val="none"/>
          <w:lang w:val="en-US" w:eastAsia="zh-CN"/>
        </w:rPr>
        <w:t>中标人</w:t>
      </w:r>
      <w:r>
        <w:rPr>
          <w:rFonts w:hint="eastAsia" w:ascii="宋体" w:hAnsi="宋体" w:eastAsia="宋体" w:cs="宋体"/>
          <w:color w:val="auto"/>
          <w:sz w:val="24"/>
          <w:szCs w:val="24"/>
          <w:highlight w:val="none"/>
        </w:rPr>
        <w:t>支付合同款项的</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0%作为预付款</w:t>
      </w:r>
      <w:r>
        <w:rPr>
          <w:rFonts w:hint="eastAsia" w:ascii="宋体" w:hAnsi="宋体" w:eastAsia="宋体" w:cs="宋体"/>
          <w:color w:val="auto"/>
          <w:sz w:val="24"/>
          <w:szCs w:val="24"/>
          <w:highlight w:val="none"/>
          <w:lang w:val="zh-CN"/>
        </w:rPr>
        <w:t>。</w:t>
      </w:r>
    </w:p>
    <w:p w14:paraId="429299F4">
      <w:pPr>
        <w:autoSpaceDE w:val="0"/>
        <w:autoSpaceDN w:val="0"/>
        <w:adjustRightInd w:val="0"/>
        <w:spacing w:line="440" w:lineRule="exact"/>
        <w:ind w:firstLine="360" w:firstLineChars="150"/>
        <w:rPr>
          <w:rFonts w:hint="eastAsia" w:ascii="宋体" w:hAnsi="宋体" w:eastAsia="宋体" w:cs="宋体"/>
          <w:color w:val="auto"/>
          <w:kern w:val="0"/>
          <w:sz w:val="24"/>
          <w:szCs w:val="24"/>
          <w:highlight w:val="none"/>
          <w:lang w:eastAsia="zh-CN"/>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 2 \* GB3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②</w:t>
      </w:r>
      <w:r>
        <w:rPr>
          <w:rFonts w:hint="eastAsia" w:ascii="宋体" w:hAnsi="宋体" w:eastAsia="宋体" w:cs="宋体"/>
          <w:bCs/>
          <w:color w:val="auto"/>
          <w:sz w:val="24"/>
          <w:szCs w:val="24"/>
          <w:highlight w:val="none"/>
        </w:rPr>
        <w:fldChar w:fldCharType="end"/>
      </w:r>
      <w:r>
        <w:rPr>
          <w:rFonts w:hint="eastAsia" w:ascii="宋体" w:hAnsi="宋体" w:eastAsia="宋体" w:cs="宋体"/>
          <w:color w:val="auto"/>
          <w:kern w:val="0"/>
          <w:sz w:val="24"/>
          <w:szCs w:val="24"/>
          <w:highlight w:val="none"/>
        </w:rPr>
        <w:t>项目</w:t>
      </w:r>
      <w:r>
        <w:rPr>
          <w:rFonts w:hint="eastAsia" w:ascii="宋体" w:hAnsi="宋体" w:eastAsia="宋体" w:cs="宋体"/>
          <w:color w:val="auto"/>
          <w:kern w:val="0"/>
          <w:sz w:val="24"/>
          <w:szCs w:val="24"/>
          <w:highlight w:val="none"/>
          <w:lang w:val="en-US" w:eastAsia="zh-CN"/>
        </w:rPr>
        <w:t>竣工验收合格后</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kern w:val="0"/>
          <w:sz w:val="24"/>
          <w:szCs w:val="24"/>
          <w:highlight w:val="none"/>
          <w:lang w:eastAsia="zh-CN"/>
        </w:rPr>
        <w:t>向</w:t>
      </w:r>
      <w:r>
        <w:rPr>
          <w:rFonts w:hint="eastAsia" w:ascii="宋体" w:hAnsi="宋体" w:eastAsia="宋体" w:cs="宋体"/>
          <w:color w:val="auto"/>
          <w:sz w:val="24"/>
          <w:szCs w:val="24"/>
          <w:highlight w:val="none"/>
          <w:lang w:val="en-US" w:eastAsia="zh-CN"/>
        </w:rPr>
        <w:t>中标人</w:t>
      </w:r>
      <w:r>
        <w:rPr>
          <w:rFonts w:hint="eastAsia" w:ascii="宋体" w:hAnsi="宋体" w:eastAsia="宋体" w:cs="宋体"/>
          <w:color w:val="auto"/>
          <w:kern w:val="0"/>
          <w:sz w:val="24"/>
          <w:szCs w:val="24"/>
          <w:highlight w:val="none"/>
          <w:lang w:eastAsia="zh-CN"/>
        </w:rPr>
        <w:t>支付合同款项的</w:t>
      </w:r>
      <w:r>
        <w:rPr>
          <w:rFonts w:hint="eastAsia" w:ascii="宋体" w:hAnsi="宋体" w:eastAsia="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rPr>
        <w:t>0%</w:t>
      </w:r>
      <w:r>
        <w:rPr>
          <w:rFonts w:hint="eastAsia" w:ascii="宋体" w:hAnsi="宋体" w:eastAsia="宋体" w:cs="宋体"/>
          <w:color w:val="auto"/>
          <w:kern w:val="0"/>
          <w:sz w:val="24"/>
          <w:szCs w:val="24"/>
          <w:highlight w:val="none"/>
          <w:lang w:eastAsia="zh-CN"/>
        </w:rPr>
        <w:t>。</w:t>
      </w:r>
    </w:p>
    <w:p w14:paraId="1AF6460E">
      <w:pPr>
        <w:autoSpaceDE w:val="0"/>
        <w:autoSpaceDN w:val="0"/>
        <w:adjustRightInd w:val="0"/>
        <w:spacing w:line="440" w:lineRule="exact"/>
        <w:ind w:firstLine="360" w:firstLineChars="150"/>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sz w:val="24"/>
          <w:szCs w:val="24"/>
          <w:highlight w:val="none"/>
          <w:lang w:val="zh-CN"/>
        </w:rPr>
        <w:t>③</w:t>
      </w:r>
      <w:r>
        <w:rPr>
          <w:rFonts w:hint="eastAsia" w:ascii="宋体" w:hAnsi="宋体" w:eastAsia="宋体" w:cs="宋体"/>
          <w:color w:val="auto"/>
          <w:kern w:val="0"/>
          <w:sz w:val="24"/>
          <w:szCs w:val="24"/>
          <w:highlight w:val="none"/>
          <w:lang w:val="en-US" w:eastAsia="zh-CN"/>
        </w:rPr>
        <w:t>第二年</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kern w:val="0"/>
          <w:sz w:val="24"/>
          <w:szCs w:val="24"/>
          <w:highlight w:val="none"/>
          <w:lang w:val="en-US" w:eastAsia="zh-CN"/>
        </w:rPr>
        <w:t>向</w:t>
      </w:r>
      <w:r>
        <w:rPr>
          <w:rFonts w:hint="eastAsia" w:ascii="宋体" w:hAnsi="宋体" w:eastAsia="宋体" w:cs="宋体"/>
          <w:color w:val="auto"/>
          <w:sz w:val="24"/>
          <w:szCs w:val="24"/>
          <w:highlight w:val="none"/>
          <w:lang w:val="en-US" w:eastAsia="zh-CN"/>
        </w:rPr>
        <w:t>中标人</w:t>
      </w:r>
      <w:r>
        <w:rPr>
          <w:rFonts w:hint="eastAsia" w:ascii="宋体" w:hAnsi="宋体" w:eastAsia="宋体" w:cs="宋体"/>
          <w:color w:val="auto"/>
          <w:kern w:val="0"/>
          <w:sz w:val="24"/>
          <w:szCs w:val="24"/>
          <w:highlight w:val="none"/>
          <w:lang w:val="en-US" w:eastAsia="zh-CN"/>
        </w:rPr>
        <w:t>付至审计价的60%</w:t>
      </w:r>
      <w:r>
        <w:rPr>
          <w:rFonts w:hint="eastAsia" w:ascii="宋体" w:hAnsi="宋体" w:eastAsia="宋体" w:cs="宋体"/>
          <w:color w:val="auto"/>
          <w:kern w:val="0"/>
          <w:sz w:val="24"/>
          <w:szCs w:val="24"/>
          <w:highlight w:val="none"/>
          <w:lang w:eastAsia="zh-CN"/>
        </w:rPr>
        <w:t>。</w:t>
      </w:r>
    </w:p>
    <w:p w14:paraId="4533AB34">
      <w:pPr>
        <w:autoSpaceDE w:val="0"/>
        <w:autoSpaceDN w:val="0"/>
        <w:adjustRightInd w:val="0"/>
        <w:spacing w:line="440" w:lineRule="exact"/>
        <w:ind w:firstLine="360" w:firstLineChars="15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④第三年</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kern w:val="0"/>
          <w:sz w:val="24"/>
          <w:szCs w:val="24"/>
          <w:highlight w:val="none"/>
          <w:lang w:val="en-US" w:eastAsia="zh-CN"/>
        </w:rPr>
        <w:t>向</w:t>
      </w:r>
      <w:r>
        <w:rPr>
          <w:rFonts w:hint="eastAsia" w:ascii="宋体" w:hAnsi="宋体" w:eastAsia="宋体" w:cs="宋体"/>
          <w:color w:val="auto"/>
          <w:sz w:val="24"/>
          <w:szCs w:val="24"/>
          <w:highlight w:val="none"/>
          <w:lang w:val="en-US" w:eastAsia="zh-CN"/>
        </w:rPr>
        <w:t>中标人</w:t>
      </w:r>
      <w:r>
        <w:rPr>
          <w:rFonts w:hint="eastAsia" w:ascii="宋体" w:hAnsi="宋体" w:eastAsia="宋体" w:cs="宋体"/>
          <w:color w:val="auto"/>
          <w:kern w:val="0"/>
          <w:sz w:val="24"/>
          <w:szCs w:val="24"/>
          <w:highlight w:val="none"/>
          <w:lang w:val="en-US" w:eastAsia="zh-CN"/>
        </w:rPr>
        <w:t>付至审计价的80%</w:t>
      </w:r>
    </w:p>
    <w:p w14:paraId="1E259215">
      <w:pPr>
        <w:autoSpaceDE w:val="0"/>
        <w:autoSpaceDN w:val="0"/>
        <w:adjustRightInd w:val="0"/>
        <w:spacing w:line="440" w:lineRule="exact"/>
        <w:ind w:firstLine="360" w:firstLineChars="150"/>
        <w:rPr>
          <w:rFonts w:hint="eastAsia" w:ascii="宋体" w:hAnsi="宋体" w:eastAsia="宋体" w:cs="宋体"/>
          <w:bCs/>
          <w:color w:val="auto"/>
          <w:sz w:val="24"/>
          <w:szCs w:val="24"/>
          <w:highlight w:val="none"/>
          <w:lang w:val="zh-CN"/>
        </w:rPr>
      </w:pPr>
      <w:r>
        <w:rPr>
          <w:rFonts w:hint="eastAsia" w:ascii="宋体" w:hAnsi="宋体" w:eastAsia="宋体" w:cs="宋体"/>
          <w:color w:val="auto"/>
          <w:kern w:val="0"/>
          <w:sz w:val="24"/>
          <w:szCs w:val="24"/>
          <w:highlight w:val="none"/>
          <w:lang w:val="en-US" w:eastAsia="zh-CN"/>
        </w:rPr>
        <w:t>⑤第四年</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kern w:val="0"/>
          <w:sz w:val="24"/>
          <w:szCs w:val="24"/>
          <w:highlight w:val="none"/>
        </w:rPr>
        <w:t>向</w:t>
      </w:r>
      <w:r>
        <w:rPr>
          <w:rFonts w:hint="eastAsia" w:ascii="宋体" w:hAnsi="宋体" w:eastAsia="宋体" w:cs="宋体"/>
          <w:color w:val="auto"/>
          <w:sz w:val="24"/>
          <w:szCs w:val="24"/>
          <w:highlight w:val="none"/>
          <w:lang w:val="en-US" w:eastAsia="zh-CN"/>
        </w:rPr>
        <w:t>中标人</w:t>
      </w:r>
      <w:r>
        <w:rPr>
          <w:rFonts w:hint="eastAsia" w:ascii="宋体" w:hAnsi="宋体" w:eastAsia="宋体" w:cs="宋体"/>
          <w:color w:val="auto"/>
          <w:kern w:val="0"/>
          <w:sz w:val="24"/>
          <w:szCs w:val="24"/>
          <w:highlight w:val="none"/>
        </w:rPr>
        <w:t>支付合同剩余款项</w:t>
      </w:r>
      <w:r>
        <w:rPr>
          <w:rFonts w:hint="eastAsia" w:ascii="宋体" w:hAnsi="宋体" w:eastAsia="宋体" w:cs="宋体"/>
          <w:bCs/>
          <w:color w:val="auto"/>
          <w:sz w:val="24"/>
          <w:szCs w:val="24"/>
          <w:highlight w:val="none"/>
          <w:lang w:val="zh-CN"/>
        </w:rPr>
        <w:t>。</w:t>
      </w:r>
    </w:p>
    <w:p w14:paraId="67115E62">
      <w:pPr>
        <w:autoSpaceDE w:val="0"/>
        <w:autoSpaceDN w:val="0"/>
        <w:adjustRightInd w:val="0"/>
        <w:spacing w:line="440" w:lineRule="exact"/>
        <w:ind w:left="0" w:leftChars="0" w:firstLine="0" w:firstLineChars="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注：</w:t>
      </w:r>
      <w:r>
        <w:rPr>
          <w:rFonts w:hint="eastAsia" w:ascii="宋体" w:hAnsi="宋体" w:eastAsia="宋体" w:cs="宋体"/>
          <w:b/>
          <w:color w:val="auto"/>
          <w:sz w:val="24"/>
          <w:szCs w:val="24"/>
          <w:highlight w:val="none"/>
          <w:lang w:val="en-US" w:eastAsia="zh-CN"/>
        </w:rPr>
        <w:t>（</w:t>
      </w:r>
      <w:r>
        <w:rPr>
          <w:rFonts w:hint="eastAsia" w:ascii="宋体" w:hAnsi="宋体" w:eastAsia="宋体" w:cs="宋体"/>
          <w:b/>
          <w:color w:val="auto"/>
          <w:sz w:val="24"/>
          <w:szCs w:val="24"/>
          <w:highlight w:val="none"/>
        </w:rPr>
        <w:t>1）</w:t>
      </w:r>
      <w:r>
        <w:rPr>
          <w:rFonts w:hint="eastAsia" w:ascii="宋体" w:hAnsi="宋体" w:eastAsia="宋体" w:cs="宋体"/>
          <w:b/>
          <w:color w:val="auto"/>
          <w:sz w:val="24"/>
          <w:szCs w:val="24"/>
          <w:highlight w:val="none"/>
          <w:lang w:eastAsia="ar-SA"/>
        </w:rPr>
        <w:t>项目的竣工结算由</w:t>
      </w:r>
      <w:r>
        <w:rPr>
          <w:rFonts w:hint="eastAsia" w:ascii="宋体" w:hAnsi="宋体" w:eastAsia="宋体" w:cs="宋体"/>
          <w:b/>
          <w:bCs/>
          <w:color w:val="auto"/>
          <w:sz w:val="24"/>
          <w:szCs w:val="24"/>
          <w:highlight w:val="none"/>
          <w:lang w:val="en-US" w:eastAsia="zh-CN"/>
        </w:rPr>
        <w:t>采购人</w:t>
      </w:r>
      <w:r>
        <w:rPr>
          <w:rFonts w:hint="eastAsia" w:ascii="宋体" w:hAnsi="宋体" w:eastAsia="宋体" w:cs="宋体"/>
          <w:b/>
          <w:color w:val="auto"/>
          <w:sz w:val="24"/>
          <w:szCs w:val="24"/>
          <w:highlight w:val="none"/>
          <w:lang w:eastAsia="ar-SA"/>
        </w:rPr>
        <w:t>委托有资质的中介机构审核，并以出具的结算审核结论作为最终结算的依据</w:t>
      </w:r>
      <w:r>
        <w:rPr>
          <w:rFonts w:hint="eastAsia" w:ascii="宋体" w:hAnsi="宋体" w:eastAsia="宋体" w:cs="宋体"/>
          <w:b/>
          <w:color w:val="auto"/>
          <w:sz w:val="24"/>
          <w:szCs w:val="24"/>
          <w:highlight w:val="none"/>
          <w:lang w:eastAsia="zh-CN"/>
        </w:rPr>
        <w:t>。</w:t>
      </w:r>
    </w:p>
    <w:p w14:paraId="4EE5DC0C">
      <w:pPr>
        <w:autoSpaceDE w:val="0"/>
        <w:autoSpaceDN w:val="0"/>
        <w:adjustRightInd w:val="0"/>
        <w:spacing w:line="440" w:lineRule="exact"/>
        <w:ind w:left="0" w:leftChars="0" w:firstLine="422" w:firstLineChars="175"/>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lang w:val="en-US" w:eastAsia="zh-CN"/>
        </w:rPr>
        <w:t>2</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签订合同时，</w:t>
      </w:r>
      <w:r>
        <w:rPr>
          <w:rFonts w:hint="eastAsia" w:ascii="宋体" w:hAnsi="宋体" w:eastAsia="宋体" w:cs="宋体"/>
          <w:b/>
          <w:bCs/>
          <w:color w:val="auto"/>
          <w:sz w:val="24"/>
          <w:szCs w:val="24"/>
          <w:highlight w:val="none"/>
          <w:lang w:val="en-US" w:eastAsia="zh-CN"/>
        </w:rPr>
        <w:t>中标人</w:t>
      </w:r>
      <w:r>
        <w:rPr>
          <w:rFonts w:hint="eastAsia" w:ascii="宋体" w:hAnsi="宋体" w:eastAsia="宋体" w:cs="宋体"/>
          <w:b/>
          <w:color w:val="auto"/>
          <w:sz w:val="24"/>
          <w:szCs w:val="24"/>
          <w:highlight w:val="none"/>
        </w:rPr>
        <w:t>明确表示无需预付款或者主动要求降低预付款比例的，</w:t>
      </w:r>
      <w:r>
        <w:rPr>
          <w:rFonts w:hint="eastAsia" w:ascii="宋体" w:hAnsi="宋体" w:eastAsia="宋体" w:cs="宋体"/>
          <w:b/>
          <w:bCs/>
          <w:color w:val="auto"/>
          <w:sz w:val="24"/>
          <w:szCs w:val="24"/>
          <w:highlight w:val="none"/>
          <w:lang w:val="en-US" w:eastAsia="zh-CN"/>
        </w:rPr>
        <w:t>采购人</w:t>
      </w:r>
      <w:r>
        <w:rPr>
          <w:rFonts w:hint="eastAsia" w:ascii="宋体" w:hAnsi="宋体" w:eastAsia="宋体" w:cs="宋体"/>
          <w:b/>
          <w:color w:val="auto"/>
          <w:sz w:val="24"/>
          <w:szCs w:val="24"/>
          <w:highlight w:val="none"/>
        </w:rPr>
        <w:t>可不适用上述</w:t>
      </w:r>
      <w:r>
        <w:rPr>
          <w:rFonts w:hint="eastAsia" w:ascii="宋体" w:hAnsi="宋体" w:eastAsia="宋体" w:cs="宋体"/>
          <w:b/>
          <w:color w:val="auto"/>
          <w:sz w:val="24"/>
          <w:szCs w:val="24"/>
          <w:highlight w:val="none"/>
          <w:lang w:val="en-US" w:eastAsia="zh-CN"/>
        </w:rPr>
        <w:t>付款方式</w:t>
      </w:r>
      <w:r>
        <w:rPr>
          <w:rFonts w:hint="eastAsia" w:ascii="宋体" w:hAnsi="宋体" w:eastAsia="宋体" w:cs="宋体"/>
          <w:b/>
          <w:color w:val="auto"/>
          <w:sz w:val="24"/>
          <w:szCs w:val="24"/>
          <w:highlight w:val="none"/>
        </w:rPr>
        <w:t>①规定。</w:t>
      </w:r>
    </w:p>
    <w:p w14:paraId="3C27F973">
      <w:pPr>
        <w:autoSpaceDE w:val="0"/>
        <w:autoSpaceDN w:val="0"/>
        <w:adjustRightInd w:val="0"/>
        <w:spacing w:line="440" w:lineRule="exact"/>
        <w:ind w:left="0" w:leftChars="0" w:firstLine="422" w:firstLineChars="175"/>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3</w:t>
      </w:r>
      <w:r>
        <w:rPr>
          <w:rFonts w:hint="eastAsia" w:ascii="宋体" w:hAnsi="宋体" w:eastAsia="宋体" w:cs="宋体"/>
          <w:b/>
          <w:color w:val="auto"/>
          <w:sz w:val="24"/>
          <w:szCs w:val="24"/>
          <w:highlight w:val="none"/>
        </w:rPr>
        <w:t>）以上每次付款前，</w:t>
      </w:r>
      <w:r>
        <w:rPr>
          <w:rFonts w:hint="eastAsia" w:ascii="宋体" w:hAnsi="宋体" w:eastAsia="宋体" w:cs="宋体"/>
          <w:b/>
          <w:bCs/>
          <w:color w:val="auto"/>
          <w:sz w:val="24"/>
          <w:szCs w:val="24"/>
          <w:highlight w:val="none"/>
          <w:lang w:val="en-US" w:eastAsia="zh-CN"/>
        </w:rPr>
        <w:t>中标人</w:t>
      </w:r>
      <w:r>
        <w:rPr>
          <w:rFonts w:hint="eastAsia" w:ascii="宋体" w:hAnsi="宋体" w:eastAsia="宋体" w:cs="宋体"/>
          <w:b/>
          <w:color w:val="auto"/>
          <w:sz w:val="24"/>
          <w:szCs w:val="24"/>
          <w:highlight w:val="none"/>
        </w:rPr>
        <w:t>均应提供符合</w:t>
      </w:r>
      <w:r>
        <w:rPr>
          <w:rFonts w:hint="eastAsia" w:ascii="宋体" w:hAnsi="宋体" w:eastAsia="宋体" w:cs="宋体"/>
          <w:b/>
          <w:bCs/>
          <w:color w:val="auto"/>
          <w:sz w:val="24"/>
          <w:szCs w:val="24"/>
          <w:highlight w:val="none"/>
          <w:lang w:val="en-US" w:eastAsia="zh-CN"/>
        </w:rPr>
        <w:t>采购人</w:t>
      </w:r>
      <w:r>
        <w:rPr>
          <w:rFonts w:hint="eastAsia" w:ascii="宋体" w:hAnsi="宋体" w:eastAsia="宋体" w:cs="宋体"/>
          <w:b/>
          <w:color w:val="auto"/>
          <w:sz w:val="24"/>
          <w:szCs w:val="24"/>
          <w:highlight w:val="none"/>
        </w:rPr>
        <w:t>要求的同等金额的合法有效发票。否则，</w:t>
      </w:r>
      <w:r>
        <w:rPr>
          <w:rFonts w:hint="eastAsia" w:ascii="宋体" w:hAnsi="宋体" w:eastAsia="宋体" w:cs="宋体"/>
          <w:b/>
          <w:bCs/>
          <w:color w:val="auto"/>
          <w:sz w:val="24"/>
          <w:szCs w:val="24"/>
          <w:highlight w:val="none"/>
          <w:lang w:val="en-US" w:eastAsia="zh-CN"/>
        </w:rPr>
        <w:t>采购人</w:t>
      </w:r>
      <w:r>
        <w:rPr>
          <w:rFonts w:hint="eastAsia" w:ascii="宋体" w:hAnsi="宋体" w:eastAsia="宋体" w:cs="宋体"/>
          <w:b/>
          <w:color w:val="auto"/>
          <w:sz w:val="24"/>
          <w:szCs w:val="24"/>
          <w:highlight w:val="none"/>
        </w:rPr>
        <w:t>有权顺延付款时间，且不承担任何违约或赔偿责任。</w:t>
      </w:r>
    </w:p>
    <w:p w14:paraId="01C74F9A">
      <w:pPr>
        <w:autoSpaceDE w:val="0"/>
        <w:autoSpaceDN w:val="0"/>
        <w:adjustRightInd w:val="0"/>
        <w:spacing w:line="440" w:lineRule="exact"/>
        <w:ind w:left="0" w:leftChars="0" w:firstLine="422" w:firstLineChars="175"/>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4</w:t>
      </w:r>
      <w:r>
        <w:rPr>
          <w:rFonts w:hint="eastAsia" w:ascii="宋体" w:hAnsi="宋体" w:eastAsia="宋体" w:cs="宋体"/>
          <w:b/>
          <w:color w:val="auto"/>
          <w:sz w:val="24"/>
          <w:szCs w:val="24"/>
          <w:highlight w:val="none"/>
        </w:rPr>
        <w:t>）本项目支付方式支持数字人民币方式。</w:t>
      </w:r>
    </w:p>
    <w:p w14:paraId="4055F9B5">
      <w:pPr>
        <w:autoSpaceDE w:val="0"/>
        <w:autoSpaceDN w:val="0"/>
        <w:adjustRightInd w:val="0"/>
        <w:spacing w:line="440" w:lineRule="exact"/>
        <w:ind w:firstLine="241" w:firstLineChars="1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不满足上述付款要求的</w:t>
      </w:r>
      <w:r>
        <w:rPr>
          <w:rFonts w:hint="eastAsia" w:ascii="宋体" w:hAnsi="宋体" w:eastAsia="宋体" w:cs="宋体"/>
          <w:b/>
          <w:color w:val="auto"/>
          <w:sz w:val="24"/>
          <w:szCs w:val="24"/>
          <w:highlight w:val="none"/>
          <w:lang w:val="zh-CN"/>
        </w:rPr>
        <w:t>将作无效投标处理</w:t>
      </w:r>
      <w:r>
        <w:rPr>
          <w:rFonts w:hint="eastAsia" w:ascii="宋体" w:hAnsi="宋体" w:eastAsia="宋体" w:cs="宋体"/>
          <w:b/>
          <w:color w:val="auto"/>
          <w:sz w:val="24"/>
          <w:szCs w:val="24"/>
          <w:highlight w:val="none"/>
        </w:rPr>
        <w:t>。</w:t>
      </w:r>
    </w:p>
    <w:p w14:paraId="1645E7C4">
      <w:pPr>
        <w:numPr>
          <w:ilvl w:val="0"/>
          <w:numId w:val="0"/>
        </w:numPr>
        <w:autoSpaceDE w:val="0"/>
        <w:autoSpaceDN w:val="0"/>
        <w:adjustRightInd w:val="0"/>
        <w:spacing w:line="440" w:lineRule="exact"/>
        <w:ind w:firstLine="240" w:firstLineChars="100"/>
        <w:rPr>
          <w:rFonts w:hint="eastAsia" w:ascii="宋体" w:hAnsi="宋体" w:eastAsia="宋体" w:cs="宋体"/>
          <w:color w:val="auto"/>
          <w:sz w:val="24"/>
          <w:szCs w:val="24"/>
          <w:highlight w:val="none"/>
          <w:lang w:eastAsia="zh-CN"/>
        </w:rPr>
      </w:pPr>
      <w:r>
        <w:rPr>
          <w:rFonts w:hint="eastAsia" w:ascii="宋体" w:hAnsi="宋体" w:eastAsia="宋体" w:cs="宋体"/>
          <w:color w:val="auto"/>
          <w:kern w:val="2"/>
          <w:sz w:val="24"/>
          <w:szCs w:val="24"/>
          <w:highlight w:val="none"/>
          <w:lang w:val="en-US" w:eastAsia="zh-CN" w:bidi="ar-SA"/>
        </w:rPr>
        <w:t>7、</w:t>
      </w:r>
      <w:r>
        <w:rPr>
          <w:rFonts w:hint="eastAsia" w:ascii="宋体" w:hAnsi="宋体" w:eastAsia="宋体" w:cs="宋体"/>
          <w:color w:val="auto"/>
          <w:sz w:val="24"/>
          <w:szCs w:val="24"/>
          <w:highlight w:val="none"/>
        </w:rPr>
        <w:t>结算方式：本项目以</w:t>
      </w:r>
      <w:r>
        <w:rPr>
          <w:rFonts w:hint="eastAsia" w:ascii="宋体" w:hAnsi="宋体" w:eastAsia="宋体" w:cs="宋体"/>
          <w:color w:val="auto"/>
          <w:sz w:val="24"/>
          <w:szCs w:val="24"/>
          <w:highlight w:val="none"/>
          <w:lang w:val="en-US" w:eastAsia="zh-CN"/>
        </w:rPr>
        <w:t>单</w:t>
      </w:r>
      <w:r>
        <w:rPr>
          <w:rFonts w:hint="eastAsia" w:ascii="宋体" w:hAnsi="宋体" w:eastAsia="宋体" w:cs="宋体"/>
          <w:color w:val="auto"/>
          <w:sz w:val="24"/>
          <w:szCs w:val="24"/>
          <w:highlight w:val="none"/>
        </w:rPr>
        <w:t>价合同方式结算</w:t>
      </w:r>
      <w:r>
        <w:rPr>
          <w:rFonts w:hint="eastAsia" w:ascii="宋体" w:hAnsi="宋体" w:eastAsia="宋体" w:cs="宋体"/>
          <w:color w:val="auto"/>
          <w:sz w:val="24"/>
          <w:szCs w:val="24"/>
          <w:highlight w:val="none"/>
          <w:lang w:eastAsia="zh-CN"/>
        </w:rPr>
        <w:t>。</w:t>
      </w:r>
    </w:p>
    <w:p w14:paraId="19D6237C">
      <w:pPr>
        <w:spacing w:line="440" w:lineRule="exact"/>
        <w:ind w:firstLine="482" w:firstLineChars="200"/>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val="en-US" w:eastAsia="zh-CN"/>
        </w:rPr>
        <w:t>①管道疏通费：</w:t>
      </w:r>
      <w:r>
        <w:rPr>
          <w:rFonts w:hint="eastAsia" w:ascii="宋体" w:hAnsi="宋体" w:eastAsia="宋体" w:cs="宋体"/>
          <w:color w:val="auto"/>
          <w:sz w:val="24"/>
          <w:szCs w:val="24"/>
          <w:highlight w:val="none"/>
        </w:rPr>
        <w:t>该部分内容竣工验收合格后工程量以现场签证为准，竣工结算审核时，若招标文件中有提供预算单价的则按照预算单价*（1-</w:t>
      </w:r>
      <w:r>
        <w:rPr>
          <w:rFonts w:hint="eastAsia" w:ascii="宋体" w:hAnsi="宋体" w:eastAsia="宋体" w:cs="宋体"/>
          <w:color w:val="auto"/>
          <w:sz w:val="24"/>
          <w:szCs w:val="24"/>
          <w:highlight w:val="none"/>
          <w:lang w:val="en-US" w:eastAsia="zh-CN"/>
        </w:rPr>
        <w:t>中标</w:t>
      </w:r>
      <w:r>
        <w:rPr>
          <w:rFonts w:hint="eastAsia" w:ascii="宋体" w:hAnsi="宋体" w:eastAsia="宋体" w:cs="宋体"/>
          <w:color w:val="auto"/>
          <w:sz w:val="24"/>
          <w:szCs w:val="24"/>
          <w:highlight w:val="none"/>
          <w:lang w:eastAsia="zh-CN"/>
        </w:rPr>
        <w:t>优惠率</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计结</w:t>
      </w:r>
      <w:r>
        <w:rPr>
          <w:rFonts w:hint="eastAsia" w:ascii="宋体" w:hAnsi="宋体" w:eastAsia="宋体" w:cs="宋体"/>
          <w:color w:val="auto"/>
          <w:sz w:val="24"/>
          <w:szCs w:val="24"/>
          <w:highlight w:val="none"/>
        </w:rPr>
        <w:t>算单价，若无预算单价的则按照相关定额计取，若未有定额的则对其综合单价进行合理性分析（依据市场价、询价结果等多方面因素）并经</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确认。按上述方式计算出的金额*（1-</w:t>
      </w:r>
      <w:r>
        <w:rPr>
          <w:rFonts w:hint="eastAsia" w:ascii="宋体" w:hAnsi="宋体" w:eastAsia="宋体" w:cs="宋体"/>
          <w:color w:val="auto"/>
          <w:sz w:val="24"/>
          <w:szCs w:val="24"/>
          <w:highlight w:val="none"/>
          <w:lang w:val="en-US" w:eastAsia="zh-CN"/>
        </w:rPr>
        <w:t>中标</w:t>
      </w:r>
      <w:r>
        <w:rPr>
          <w:rFonts w:hint="eastAsia" w:ascii="宋体" w:hAnsi="宋体" w:eastAsia="宋体" w:cs="宋体"/>
          <w:color w:val="auto"/>
          <w:sz w:val="24"/>
          <w:szCs w:val="24"/>
          <w:highlight w:val="none"/>
          <w:lang w:eastAsia="zh-CN"/>
        </w:rPr>
        <w:t>优惠率</w:t>
      </w:r>
      <w:r>
        <w:rPr>
          <w:rFonts w:hint="eastAsia" w:ascii="宋体" w:hAnsi="宋体" w:eastAsia="宋体" w:cs="宋体"/>
          <w:color w:val="auto"/>
          <w:sz w:val="24"/>
          <w:szCs w:val="24"/>
          <w:highlight w:val="none"/>
        </w:rPr>
        <w:t>）将作为该部分最终结算价</w:t>
      </w:r>
      <w:r>
        <w:rPr>
          <w:rFonts w:hint="eastAsia" w:ascii="宋体" w:hAnsi="宋体" w:eastAsia="宋体" w:cs="宋体"/>
          <w:color w:val="auto"/>
          <w:sz w:val="24"/>
          <w:szCs w:val="24"/>
          <w:highlight w:val="none"/>
          <w:lang w:eastAsia="zh-CN"/>
        </w:rPr>
        <w:t>。</w:t>
      </w:r>
    </w:p>
    <w:p w14:paraId="6B327BA5">
      <w:pPr>
        <w:spacing w:line="440" w:lineRule="exact"/>
        <w:ind w:firstLine="482" w:firstLineChars="200"/>
        <w:jc w:val="center"/>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1、雨污水管网疏通</w:t>
      </w:r>
      <w:r>
        <w:rPr>
          <w:rFonts w:hint="eastAsia" w:ascii="宋体" w:hAnsi="宋体" w:eastAsia="宋体" w:cs="宋体"/>
          <w:b/>
          <w:bCs/>
          <w:color w:val="auto"/>
          <w:sz w:val="24"/>
          <w:szCs w:val="24"/>
          <w:highlight w:val="none"/>
        </w:rPr>
        <w:t>预算单价按下表</w:t>
      </w:r>
    </w:p>
    <w:tbl>
      <w:tblPr>
        <w:tblStyle w:val="5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59"/>
        <w:gridCol w:w="4060"/>
        <w:gridCol w:w="1919"/>
      </w:tblGrid>
      <w:tr w14:paraId="20865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059" w:type="dxa"/>
            <w:vAlign w:val="center"/>
          </w:tcPr>
          <w:p w14:paraId="0B5EDDFB">
            <w:pPr>
              <w:keepNext w:val="0"/>
              <w:keepLines w:val="0"/>
              <w:widowControl/>
              <w:suppressLineNumbers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项目名称</w:t>
            </w:r>
          </w:p>
        </w:tc>
        <w:tc>
          <w:tcPr>
            <w:tcW w:w="4060" w:type="dxa"/>
            <w:vAlign w:val="center"/>
          </w:tcPr>
          <w:p w14:paraId="51768C52">
            <w:pPr>
              <w:keepNext w:val="0"/>
              <w:keepLines w:val="0"/>
              <w:widowControl/>
              <w:suppressLineNumbers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作业描述</w:t>
            </w:r>
          </w:p>
        </w:tc>
        <w:tc>
          <w:tcPr>
            <w:tcW w:w="1919" w:type="dxa"/>
            <w:vAlign w:val="center"/>
          </w:tcPr>
          <w:p w14:paraId="4BF21116">
            <w:pPr>
              <w:keepNext w:val="0"/>
              <w:keepLines w:val="0"/>
              <w:widowControl/>
              <w:suppressLineNumbers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预算单价</w:t>
            </w:r>
          </w:p>
        </w:tc>
      </w:tr>
      <w:tr w14:paraId="2D713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059" w:type="dxa"/>
            <w:vAlign w:val="center"/>
          </w:tcPr>
          <w:p w14:paraId="5CC57FCF">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 xml:space="preserve">雨水管D≤200mm </w:t>
            </w:r>
          </w:p>
        </w:tc>
        <w:tc>
          <w:tcPr>
            <w:tcW w:w="4060" w:type="dxa"/>
            <w:vAlign w:val="center"/>
          </w:tcPr>
          <w:p w14:paraId="1FC500FE">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1、安放安全设施</w:t>
            </w:r>
          </w:p>
          <w:p w14:paraId="63C3CD1D">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2、管道疏通</w:t>
            </w:r>
          </w:p>
          <w:p w14:paraId="69A0BE41">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3、污泥运输并按规范处置，运距自行考虑</w:t>
            </w:r>
          </w:p>
        </w:tc>
        <w:tc>
          <w:tcPr>
            <w:tcW w:w="1919" w:type="dxa"/>
            <w:vAlign w:val="center"/>
          </w:tcPr>
          <w:p w14:paraId="56AFB2F5">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5.00元/m</w:t>
            </w:r>
          </w:p>
        </w:tc>
      </w:tr>
      <w:tr w14:paraId="1FCE1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059" w:type="dxa"/>
            <w:vAlign w:val="center"/>
          </w:tcPr>
          <w:p w14:paraId="6B728792">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雨水管（200＜D≤315mm）</w:t>
            </w:r>
          </w:p>
        </w:tc>
        <w:tc>
          <w:tcPr>
            <w:tcW w:w="4060" w:type="dxa"/>
            <w:vAlign w:val="center"/>
          </w:tcPr>
          <w:p w14:paraId="23C7D910">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1、安放安全设施</w:t>
            </w:r>
          </w:p>
          <w:p w14:paraId="44DEF961">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2、管道疏通</w:t>
            </w:r>
          </w:p>
          <w:p w14:paraId="3911CB6A">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3、污泥运输并按规范处置，运距自行考虑</w:t>
            </w:r>
          </w:p>
        </w:tc>
        <w:tc>
          <w:tcPr>
            <w:tcW w:w="1919" w:type="dxa"/>
            <w:vAlign w:val="center"/>
          </w:tcPr>
          <w:p w14:paraId="7AB57ECA">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7.00元/m</w:t>
            </w:r>
          </w:p>
        </w:tc>
      </w:tr>
      <w:tr w14:paraId="447E1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059" w:type="dxa"/>
            <w:vAlign w:val="center"/>
          </w:tcPr>
          <w:p w14:paraId="3F7121B9">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雨水管（315＜D≤400mm）</w:t>
            </w:r>
          </w:p>
        </w:tc>
        <w:tc>
          <w:tcPr>
            <w:tcW w:w="4060" w:type="dxa"/>
            <w:vAlign w:val="center"/>
          </w:tcPr>
          <w:p w14:paraId="722795AA">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1、安放安全设施</w:t>
            </w:r>
          </w:p>
          <w:p w14:paraId="73A58454">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2、管道疏通</w:t>
            </w:r>
          </w:p>
          <w:p w14:paraId="2FD2882C">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3、污泥运输并按规范处置，运距自行考虑</w:t>
            </w:r>
          </w:p>
        </w:tc>
        <w:tc>
          <w:tcPr>
            <w:tcW w:w="1919" w:type="dxa"/>
            <w:vAlign w:val="center"/>
          </w:tcPr>
          <w:p w14:paraId="3ABECAFD">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12.00元/m</w:t>
            </w:r>
          </w:p>
        </w:tc>
      </w:tr>
      <w:tr w14:paraId="2576D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059" w:type="dxa"/>
            <w:vAlign w:val="center"/>
          </w:tcPr>
          <w:p w14:paraId="35757431">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 xml:space="preserve">雨水管（400＜D≤600mm） </w:t>
            </w:r>
          </w:p>
        </w:tc>
        <w:tc>
          <w:tcPr>
            <w:tcW w:w="4060" w:type="dxa"/>
            <w:vAlign w:val="center"/>
          </w:tcPr>
          <w:p w14:paraId="75F74C92">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1、安放安全设施</w:t>
            </w:r>
          </w:p>
          <w:p w14:paraId="2B4175E6">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2、管道疏通</w:t>
            </w:r>
          </w:p>
          <w:p w14:paraId="0954D1F3">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3、污泥运输并按规范处置，运距自行考虑</w:t>
            </w:r>
          </w:p>
        </w:tc>
        <w:tc>
          <w:tcPr>
            <w:tcW w:w="1919" w:type="dxa"/>
            <w:vAlign w:val="center"/>
          </w:tcPr>
          <w:p w14:paraId="1606FF24">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16.00元/m</w:t>
            </w:r>
          </w:p>
        </w:tc>
      </w:tr>
      <w:tr w14:paraId="3FD6E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059" w:type="dxa"/>
            <w:vAlign w:val="center"/>
          </w:tcPr>
          <w:p w14:paraId="6D166621">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雨水管（600＜D≤800mm）</w:t>
            </w:r>
          </w:p>
        </w:tc>
        <w:tc>
          <w:tcPr>
            <w:tcW w:w="4060" w:type="dxa"/>
            <w:vAlign w:val="center"/>
          </w:tcPr>
          <w:p w14:paraId="2ABFD91E">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1、安放安全设施</w:t>
            </w:r>
          </w:p>
          <w:p w14:paraId="1CF918E9">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2、管道疏通</w:t>
            </w:r>
          </w:p>
          <w:p w14:paraId="0F58E73E">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3、污泥运输并按规范处置，运距自行考虑</w:t>
            </w:r>
          </w:p>
        </w:tc>
        <w:tc>
          <w:tcPr>
            <w:tcW w:w="1919" w:type="dxa"/>
            <w:vAlign w:val="center"/>
          </w:tcPr>
          <w:p w14:paraId="60ABF4B0">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20.00元/m</w:t>
            </w:r>
          </w:p>
        </w:tc>
      </w:tr>
      <w:tr w14:paraId="4E48E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059" w:type="dxa"/>
            <w:vAlign w:val="center"/>
          </w:tcPr>
          <w:p w14:paraId="3C2022F7">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雨水管（800mm＜D）</w:t>
            </w:r>
          </w:p>
        </w:tc>
        <w:tc>
          <w:tcPr>
            <w:tcW w:w="4060" w:type="dxa"/>
            <w:vAlign w:val="center"/>
          </w:tcPr>
          <w:p w14:paraId="4A1749EF">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1、安放安全设施</w:t>
            </w:r>
          </w:p>
          <w:p w14:paraId="7A7C2758">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2、管道疏通</w:t>
            </w:r>
          </w:p>
          <w:p w14:paraId="37EA395E">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3、污泥运输并按规范处置，运距自行考虑</w:t>
            </w:r>
          </w:p>
        </w:tc>
        <w:tc>
          <w:tcPr>
            <w:tcW w:w="1919" w:type="dxa"/>
            <w:vAlign w:val="center"/>
          </w:tcPr>
          <w:p w14:paraId="2FA7AA9C">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25.00元/m</w:t>
            </w:r>
          </w:p>
        </w:tc>
      </w:tr>
      <w:tr w14:paraId="2BD7E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059" w:type="dxa"/>
            <w:vAlign w:val="center"/>
          </w:tcPr>
          <w:p w14:paraId="5AA95E5B">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污水管D315mm及以下</w:t>
            </w:r>
          </w:p>
        </w:tc>
        <w:tc>
          <w:tcPr>
            <w:tcW w:w="4060" w:type="dxa"/>
            <w:vAlign w:val="center"/>
          </w:tcPr>
          <w:p w14:paraId="2E95A9F1">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1、安放安全设施</w:t>
            </w:r>
          </w:p>
          <w:p w14:paraId="3EA55712">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2、管道疏通</w:t>
            </w:r>
          </w:p>
          <w:p w14:paraId="680A232E">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3、污泥运输并按规范处置，运距自行考虑</w:t>
            </w:r>
          </w:p>
        </w:tc>
        <w:tc>
          <w:tcPr>
            <w:tcW w:w="1919" w:type="dxa"/>
            <w:vAlign w:val="center"/>
          </w:tcPr>
          <w:p w14:paraId="67F48D26">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7.00元/m</w:t>
            </w:r>
          </w:p>
        </w:tc>
      </w:tr>
      <w:tr w14:paraId="090E1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059" w:type="dxa"/>
            <w:vAlign w:val="center"/>
          </w:tcPr>
          <w:p w14:paraId="15653D25">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污水管D400mm及以上</w:t>
            </w:r>
          </w:p>
        </w:tc>
        <w:tc>
          <w:tcPr>
            <w:tcW w:w="4060" w:type="dxa"/>
            <w:vAlign w:val="center"/>
          </w:tcPr>
          <w:p w14:paraId="67E75F39">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1、安放安全设施</w:t>
            </w:r>
          </w:p>
          <w:p w14:paraId="323D030C">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2、管道疏通</w:t>
            </w:r>
          </w:p>
          <w:p w14:paraId="69AAA811">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3、污泥运输并按规范处置，运距自行考虑</w:t>
            </w:r>
          </w:p>
        </w:tc>
        <w:tc>
          <w:tcPr>
            <w:tcW w:w="1919" w:type="dxa"/>
            <w:vAlign w:val="center"/>
          </w:tcPr>
          <w:p w14:paraId="52FE83AB">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12.00元/m</w:t>
            </w:r>
          </w:p>
        </w:tc>
      </w:tr>
      <w:tr w14:paraId="12C0F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059" w:type="dxa"/>
            <w:vAlign w:val="center"/>
          </w:tcPr>
          <w:p w14:paraId="7D4B6C6A">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雨水口清疏</w:t>
            </w:r>
          </w:p>
        </w:tc>
        <w:tc>
          <w:tcPr>
            <w:tcW w:w="4060" w:type="dxa"/>
            <w:vAlign w:val="center"/>
          </w:tcPr>
          <w:p w14:paraId="518B0C47">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1、安放安全设施</w:t>
            </w:r>
          </w:p>
          <w:p w14:paraId="5E62DDAD">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2、掏挖污泥</w:t>
            </w:r>
          </w:p>
          <w:p w14:paraId="11DF268B">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3、污泥运输并按规范处置，运距自行考虑</w:t>
            </w:r>
          </w:p>
        </w:tc>
        <w:tc>
          <w:tcPr>
            <w:tcW w:w="1919" w:type="dxa"/>
            <w:vAlign w:val="center"/>
          </w:tcPr>
          <w:p w14:paraId="38D65D2A">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15.00元/座</w:t>
            </w:r>
          </w:p>
        </w:tc>
      </w:tr>
      <w:tr w14:paraId="2B6DE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059" w:type="dxa"/>
            <w:vAlign w:val="center"/>
          </w:tcPr>
          <w:p w14:paraId="0FC597E2">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雨、污水检查井（井深度2.0m以内）</w:t>
            </w:r>
          </w:p>
        </w:tc>
        <w:tc>
          <w:tcPr>
            <w:tcW w:w="4060" w:type="dxa"/>
            <w:vAlign w:val="center"/>
          </w:tcPr>
          <w:p w14:paraId="2A6084EE">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1、安放安全设施</w:t>
            </w:r>
          </w:p>
          <w:p w14:paraId="53D87168">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2、清理污泥</w:t>
            </w:r>
          </w:p>
          <w:p w14:paraId="31837F8B">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3、污泥运输并按规范处置，运距自行考虑</w:t>
            </w:r>
          </w:p>
        </w:tc>
        <w:tc>
          <w:tcPr>
            <w:tcW w:w="1919" w:type="dxa"/>
            <w:vAlign w:val="center"/>
          </w:tcPr>
          <w:p w14:paraId="1CC0CC64">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60.00元/座</w:t>
            </w:r>
          </w:p>
        </w:tc>
      </w:tr>
      <w:tr w14:paraId="4D504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059" w:type="dxa"/>
            <w:vAlign w:val="center"/>
          </w:tcPr>
          <w:p w14:paraId="32C81A9D">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雨、污水检查井（井深度2.0m-3.0m以内）</w:t>
            </w:r>
          </w:p>
        </w:tc>
        <w:tc>
          <w:tcPr>
            <w:tcW w:w="4060" w:type="dxa"/>
            <w:vAlign w:val="center"/>
          </w:tcPr>
          <w:p w14:paraId="41B1D4E6">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1、安放安全设施</w:t>
            </w:r>
          </w:p>
          <w:p w14:paraId="5E41498E">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2、清理污泥</w:t>
            </w:r>
          </w:p>
          <w:p w14:paraId="09AFA9CD">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3、污泥运输并按规范处置，运距自行考虑</w:t>
            </w:r>
          </w:p>
        </w:tc>
        <w:tc>
          <w:tcPr>
            <w:tcW w:w="1919" w:type="dxa"/>
            <w:vAlign w:val="center"/>
          </w:tcPr>
          <w:p w14:paraId="3311CF73">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75.00元/座</w:t>
            </w:r>
          </w:p>
        </w:tc>
      </w:tr>
      <w:tr w14:paraId="51F09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059" w:type="dxa"/>
            <w:vAlign w:val="center"/>
          </w:tcPr>
          <w:p w14:paraId="17C6A612">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雨、污水检查井（井深度3.0m以上）</w:t>
            </w:r>
          </w:p>
        </w:tc>
        <w:tc>
          <w:tcPr>
            <w:tcW w:w="4060" w:type="dxa"/>
            <w:vAlign w:val="center"/>
          </w:tcPr>
          <w:p w14:paraId="3230DAFF">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1、安放安全设施</w:t>
            </w:r>
          </w:p>
          <w:p w14:paraId="174E3CDC">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2、清理污泥</w:t>
            </w:r>
          </w:p>
          <w:p w14:paraId="3ADDB5F7">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3、污泥运输并按规范处置，运距自行考虑</w:t>
            </w:r>
          </w:p>
        </w:tc>
        <w:tc>
          <w:tcPr>
            <w:tcW w:w="1919" w:type="dxa"/>
            <w:vAlign w:val="center"/>
          </w:tcPr>
          <w:p w14:paraId="669A8BC3">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100元/座</w:t>
            </w:r>
          </w:p>
        </w:tc>
      </w:tr>
      <w:tr w14:paraId="4A799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059" w:type="dxa"/>
            <w:vAlign w:val="center"/>
          </w:tcPr>
          <w:p w14:paraId="1CE1BCDB">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专业潜水员下井作业</w:t>
            </w:r>
          </w:p>
        </w:tc>
        <w:tc>
          <w:tcPr>
            <w:tcW w:w="4060" w:type="dxa"/>
            <w:vAlign w:val="center"/>
          </w:tcPr>
          <w:p w14:paraId="1B16E44B">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因现场需要，由专业潜水员下井排摸、打捞作业。</w:t>
            </w:r>
          </w:p>
        </w:tc>
        <w:tc>
          <w:tcPr>
            <w:tcW w:w="1919" w:type="dxa"/>
            <w:vAlign w:val="center"/>
          </w:tcPr>
          <w:p w14:paraId="5840D6B4">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3000.00元/座</w:t>
            </w:r>
          </w:p>
        </w:tc>
      </w:tr>
      <w:tr w14:paraId="08C0B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059" w:type="dxa"/>
            <w:vAlign w:val="center"/>
          </w:tcPr>
          <w:p w14:paraId="12C5A2CA">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专业潜水员下井作业</w:t>
            </w:r>
          </w:p>
        </w:tc>
        <w:tc>
          <w:tcPr>
            <w:tcW w:w="4060" w:type="dxa"/>
            <w:vAlign w:val="center"/>
          </w:tcPr>
          <w:p w14:paraId="4302E9B6">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管道封堵及拆除（600mm管及以下）</w:t>
            </w:r>
          </w:p>
        </w:tc>
        <w:tc>
          <w:tcPr>
            <w:tcW w:w="1919" w:type="dxa"/>
            <w:vAlign w:val="center"/>
          </w:tcPr>
          <w:p w14:paraId="61CCCC26">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5500元/个</w:t>
            </w:r>
          </w:p>
        </w:tc>
      </w:tr>
      <w:tr w14:paraId="77331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059" w:type="dxa"/>
            <w:vAlign w:val="center"/>
          </w:tcPr>
          <w:p w14:paraId="448F7045">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验收环节</w:t>
            </w:r>
          </w:p>
        </w:tc>
        <w:tc>
          <w:tcPr>
            <w:tcW w:w="4060" w:type="dxa"/>
            <w:vAlign w:val="center"/>
          </w:tcPr>
          <w:p w14:paraId="4ACB1117">
            <w:pPr>
              <w:keepNext w:val="0"/>
              <w:keepLines w:val="0"/>
              <w:widowControl/>
              <w:numPr>
                <w:ilvl w:val="0"/>
                <w:numId w:val="0"/>
              </w:numPr>
              <w:suppressLineNumbers w:val="0"/>
              <w:jc w:val="left"/>
              <w:textAlignment w:val="center"/>
              <w:rPr>
                <w:rFonts w:hint="eastAsia" w:ascii="宋体" w:hAnsi="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lang w:val="en-US" w:eastAsia="zh-CN" w:bidi="ar"/>
              </w:rPr>
              <w:t>1、</w:t>
            </w:r>
            <w:r>
              <w:rPr>
                <w:rFonts w:hint="eastAsia" w:ascii="宋体" w:hAnsi="宋体" w:eastAsia="宋体" w:cs="宋体"/>
                <w:i w:val="0"/>
                <w:iCs w:val="0"/>
                <w:color w:val="000000"/>
                <w:kern w:val="0"/>
                <w:sz w:val="21"/>
                <w:szCs w:val="21"/>
                <w:highlight w:val="none"/>
                <w:u w:val="none"/>
                <w:lang w:val="en-US" w:eastAsia="zh-CN" w:bidi="ar"/>
              </w:rPr>
              <w:t>检查井两侧管道封堵（不含潜水员下井封堵）、井下抽水、机器人下井拍照，出具检查验收报告</w:t>
            </w:r>
            <w:r>
              <w:rPr>
                <w:rFonts w:hint="eastAsia" w:ascii="宋体" w:hAnsi="宋体" w:cs="宋体"/>
                <w:i w:val="0"/>
                <w:iCs w:val="0"/>
                <w:color w:val="000000"/>
                <w:kern w:val="0"/>
                <w:sz w:val="21"/>
                <w:szCs w:val="21"/>
                <w:highlight w:val="none"/>
                <w:u w:val="none"/>
                <w:lang w:val="en-US" w:eastAsia="zh-CN" w:bidi="ar"/>
              </w:rPr>
              <w:t xml:space="preserve"> 。</w:t>
            </w:r>
          </w:p>
          <w:p w14:paraId="074CDA98">
            <w:pPr>
              <w:keepNext w:val="0"/>
              <w:keepLines w:val="0"/>
              <w:widowControl/>
              <w:numPr>
                <w:ilvl w:val="0"/>
                <w:numId w:val="0"/>
              </w:numPr>
              <w:suppressLineNumbers w:val="0"/>
              <w:jc w:val="left"/>
              <w:textAlignment w:val="center"/>
              <w:rPr>
                <w:rFonts w:hint="eastAsia" w:ascii="宋体" w:hAnsi="宋体" w:cs="宋体"/>
                <w:i w:val="0"/>
                <w:iCs w:val="0"/>
                <w:color w:val="000000"/>
                <w:kern w:val="0"/>
                <w:sz w:val="21"/>
                <w:szCs w:val="21"/>
                <w:highlight w:val="none"/>
                <w:u w:val="none"/>
                <w:lang w:val="en-US" w:eastAsia="zh-CN" w:bidi="ar"/>
              </w:rPr>
            </w:pPr>
            <w:r>
              <w:rPr>
                <w:rFonts w:hint="default" w:ascii="宋体" w:hAnsi="宋体" w:eastAsia="宋体" w:cs="宋体"/>
                <w:i w:val="0"/>
                <w:iCs w:val="0"/>
                <w:color w:val="000000"/>
                <w:kern w:val="0"/>
                <w:sz w:val="21"/>
                <w:szCs w:val="21"/>
                <w:highlight w:val="none"/>
                <w:lang w:val="en-US" w:eastAsia="zh-CN" w:bidi="ar"/>
              </w:rPr>
              <w:t>2、</w:t>
            </w:r>
            <w:r>
              <w:rPr>
                <w:rFonts w:hint="eastAsia" w:ascii="宋体" w:hAnsi="宋体" w:cs="宋体"/>
                <w:i w:val="0"/>
                <w:iCs w:val="0"/>
                <w:color w:val="000000"/>
                <w:kern w:val="0"/>
                <w:sz w:val="21"/>
                <w:szCs w:val="21"/>
                <w:highlight w:val="none"/>
                <w:u w:val="none"/>
                <w:lang w:val="en-US" w:eastAsia="zh-CN" w:bidi="ar"/>
              </w:rPr>
              <w:t>本费用是指点位验收直至达到合格标准所产生的所有费用。</w:t>
            </w:r>
          </w:p>
          <w:p w14:paraId="79913A46">
            <w:pPr>
              <w:keepNext w:val="0"/>
              <w:keepLines w:val="0"/>
              <w:widowControl/>
              <w:numPr>
                <w:ilvl w:val="0"/>
                <w:numId w:val="0"/>
              </w:numPr>
              <w:suppressLineNumbers w:val="0"/>
              <w:jc w:val="left"/>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cs="宋体"/>
                <w:i w:val="0"/>
                <w:iCs w:val="0"/>
                <w:color w:val="000000"/>
                <w:kern w:val="0"/>
                <w:sz w:val="21"/>
                <w:szCs w:val="21"/>
                <w:highlight w:val="none"/>
                <w:u w:val="none"/>
                <w:lang w:val="en-US" w:eastAsia="zh-CN" w:bidi="ar"/>
              </w:rPr>
              <w:t>3、如验收不合格（一个或多个点位验收不通过），由中标人负责整改并承担验收环节中产生的所有点位验收费用；整改完成后由采购人重新组织验收，一次性全部验收合格，采购人支付验收费用。</w:t>
            </w:r>
          </w:p>
        </w:tc>
        <w:tc>
          <w:tcPr>
            <w:tcW w:w="1919" w:type="dxa"/>
            <w:vAlign w:val="center"/>
          </w:tcPr>
          <w:p w14:paraId="2FE8207C">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3600.00元/点位</w:t>
            </w:r>
          </w:p>
        </w:tc>
      </w:tr>
      <w:tr w14:paraId="44234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059" w:type="dxa"/>
            <w:vAlign w:val="center"/>
          </w:tcPr>
          <w:p w14:paraId="6AA19045">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CCTV管道检测</w:t>
            </w:r>
          </w:p>
        </w:tc>
        <w:tc>
          <w:tcPr>
            <w:tcW w:w="4060" w:type="dxa"/>
            <w:vAlign w:val="center"/>
          </w:tcPr>
          <w:p w14:paraId="53289A4E">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919" w:type="dxa"/>
            <w:vAlign w:val="center"/>
          </w:tcPr>
          <w:p w14:paraId="57B48A1C">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30元/米</w:t>
            </w:r>
          </w:p>
        </w:tc>
      </w:tr>
      <w:tr w14:paraId="3FC0F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059" w:type="dxa"/>
            <w:vAlign w:val="center"/>
          </w:tcPr>
          <w:p w14:paraId="3BC7D4BF">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QV管道检测</w:t>
            </w:r>
          </w:p>
        </w:tc>
        <w:tc>
          <w:tcPr>
            <w:tcW w:w="4060" w:type="dxa"/>
            <w:vAlign w:val="center"/>
          </w:tcPr>
          <w:p w14:paraId="7C3967B8">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919" w:type="dxa"/>
            <w:vAlign w:val="center"/>
          </w:tcPr>
          <w:p w14:paraId="414CF0DC">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20元/米</w:t>
            </w:r>
          </w:p>
        </w:tc>
      </w:tr>
    </w:tbl>
    <w:p w14:paraId="4279ACB9">
      <w:pPr>
        <w:spacing w:line="440" w:lineRule="exact"/>
        <w:ind w:firstLine="482" w:firstLineChars="200"/>
        <w:jc w:val="left"/>
        <w:rPr>
          <w:rFonts w:hint="eastAsia" w:ascii="宋体" w:hAnsi="宋体" w:eastAsia="宋体" w:cs="宋体"/>
          <w:b/>
          <w:bCs/>
          <w:color w:val="auto"/>
          <w:kern w:val="0"/>
          <w:sz w:val="24"/>
          <w:szCs w:val="24"/>
          <w:highlight w:val="none"/>
          <w:lang w:val="en-US" w:eastAsia="zh-CN"/>
        </w:rPr>
      </w:pPr>
    </w:p>
    <w:p w14:paraId="7B594F7D">
      <w:pPr>
        <w:spacing w:line="440" w:lineRule="exact"/>
        <w:ind w:firstLine="482" w:firstLineChars="200"/>
        <w:jc w:val="center"/>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2</w:t>
      </w:r>
      <w:r>
        <w:rPr>
          <w:rFonts w:hint="eastAsia" w:ascii="宋体" w:hAnsi="宋体" w:eastAsia="宋体" w:cs="宋体"/>
          <w:b/>
          <w:bCs/>
          <w:color w:val="auto"/>
          <w:sz w:val="24"/>
          <w:szCs w:val="24"/>
          <w:highlight w:val="none"/>
          <w:lang w:val="en-US" w:eastAsia="zh-CN"/>
        </w:rPr>
        <w:t>、其他零星维修（应急及投诉处理）</w:t>
      </w:r>
    </w:p>
    <w:tbl>
      <w:tblPr>
        <w:tblStyle w:val="54"/>
        <w:tblW w:w="90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86"/>
        <w:gridCol w:w="4191"/>
        <w:gridCol w:w="1633"/>
      </w:tblGrid>
      <w:tr w14:paraId="198F9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86" w:type="dxa"/>
            <w:vAlign w:val="center"/>
          </w:tcPr>
          <w:p w14:paraId="58E96080">
            <w:pPr>
              <w:keepNext w:val="0"/>
              <w:keepLines w:val="0"/>
              <w:widowControl/>
              <w:suppressLineNumbers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项目名称</w:t>
            </w:r>
          </w:p>
        </w:tc>
        <w:tc>
          <w:tcPr>
            <w:tcW w:w="4191" w:type="dxa"/>
          </w:tcPr>
          <w:p w14:paraId="0C27F078">
            <w:pPr>
              <w:keepNext w:val="0"/>
              <w:keepLines w:val="0"/>
              <w:widowControl/>
              <w:suppressLineNumbers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作业描述</w:t>
            </w:r>
          </w:p>
        </w:tc>
        <w:tc>
          <w:tcPr>
            <w:tcW w:w="1633" w:type="dxa"/>
            <w:vAlign w:val="center"/>
          </w:tcPr>
          <w:p w14:paraId="7340D746">
            <w:pPr>
              <w:keepNext w:val="0"/>
              <w:keepLines w:val="0"/>
              <w:widowControl/>
              <w:suppressLineNumbers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预算单价</w:t>
            </w:r>
          </w:p>
        </w:tc>
      </w:tr>
      <w:tr w14:paraId="50874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186" w:type="dxa"/>
            <w:vAlign w:val="center"/>
          </w:tcPr>
          <w:p w14:paraId="3446F787">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更换雨水边井钢钎维盖515*300内</w:t>
            </w:r>
          </w:p>
        </w:tc>
        <w:tc>
          <w:tcPr>
            <w:tcW w:w="4191" w:type="dxa"/>
            <w:vAlign w:val="center"/>
          </w:tcPr>
          <w:p w14:paraId="018522CF">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安放安全设施、拆除、安装井盖、清理场地</w:t>
            </w:r>
          </w:p>
        </w:tc>
        <w:tc>
          <w:tcPr>
            <w:tcW w:w="1633" w:type="dxa"/>
            <w:vAlign w:val="center"/>
          </w:tcPr>
          <w:p w14:paraId="6B950FAD">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150元/块</w:t>
            </w:r>
          </w:p>
        </w:tc>
      </w:tr>
      <w:tr w14:paraId="1317F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186" w:type="dxa"/>
            <w:vAlign w:val="center"/>
          </w:tcPr>
          <w:p w14:paraId="71BC6F9E">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更换雨水边井钢钎维盖、座515*300内</w:t>
            </w:r>
          </w:p>
        </w:tc>
        <w:tc>
          <w:tcPr>
            <w:tcW w:w="4191" w:type="dxa"/>
            <w:vAlign w:val="center"/>
          </w:tcPr>
          <w:p w14:paraId="3A9ED5E0">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安放安全设施、拆除、安装井框、盖、清理场地</w:t>
            </w:r>
          </w:p>
        </w:tc>
        <w:tc>
          <w:tcPr>
            <w:tcW w:w="1633" w:type="dxa"/>
            <w:vAlign w:val="center"/>
          </w:tcPr>
          <w:p w14:paraId="7A7FC791">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280元/套</w:t>
            </w:r>
          </w:p>
        </w:tc>
      </w:tr>
      <w:tr w14:paraId="13250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186" w:type="dxa"/>
            <w:vAlign w:val="center"/>
          </w:tcPr>
          <w:p w14:paraId="18EBD9D7">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更换雨水边井钢钎维盖500*500内</w:t>
            </w:r>
          </w:p>
        </w:tc>
        <w:tc>
          <w:tcPr>
            <w:tcW w:w="4191" w:type="dxa"/>
            <w:vAlign w:val="center"/>
          </w:tcPr>
          <w:p w14:paraId="5B4233B9">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安放安全设施、拆除、安装盖、清理场地</w:t>
            </w:r>
          </w:p>
        </w:tc>
        <w:tc>
          <w:tcPr>
            <w:tcW w:w="1633" w:type="dxa"/>
            <w:vAlign w:val="center"/>
          </w:tcPr>
          <w:p w14:paraId="15C7200B">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268元/块</w:t>
            </w:r>
          </w:p>
        </w:tc>
      </w:tr>
      <w:tr w14:paraId="7B3AC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186" w:type="dxa"/>
            <w:vAlign w:val="center"/>
          </w:tcPr>
          <w:p w14:paraId="0E57F38D">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更换雨水边井钢钎维盖座500*500内</w:t>
            </w:r>
          </w:p>
        </w:tc>
        <w:tc>
          <w:tcPr>
            <w:tcW w:w="4191" w:type="dxa"/>
            <w:vAlign w:val="center"/>
          </w:tcPr>
          <w:p w14:paraId="1DECCAA2">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安放安全设施、拆除、安装井框、盖、清理场地</w:t>
            </w:r>
          </w:p>
        </w:tc>
        <w:tc>
          <w:tcPr>
            <w:tcW w:w="1633" w:type="dxa"/>
            <w:vAlign w:val="center"/>
          </w:tcPr>
          <w:p w14:paraId="20265FED">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480元/套</w:t>
            </w:r>
          </w:p>
        </w:tc>
      </w:tr>
      <w:tr w14:paraId="0B24E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186" w:type="dxa"/>
            <w:vAlign w:val="center"/>
          </w:tcPr>
          <w:p w14:paraId="19FCE995">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更换D700钢钎维盖（C250级）</w:t>
            </w:r>
          </w:p>
        </w:tc>
        <w:tc>
          <w:tcPr>
            <w:tcW w:w="4191" w:type="dxa"/>
            <w:vAlign w:val="center"/>
          </w:tcPr>
          <w:p w14:paraId="6338142B">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安放安全设施、拆除、安装井盖、清理场地</w:t>
            </w:r>
          </w:p>
        </w:tc>
        <w:tc>
          <w:tcPr>
            <w:tcW w:w="1633" w:type="dxa"/>
            <w:vAlign w:val="center"/>
          </w:tcPr>
          <w:p w14:paraId="796AA410">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310元/块</w:t>
            </w:r>
          </w:p>
        </w:tc>
      </w:tr>
      <w:tr w14:paraId="3D306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186" w:type="dxa"/>
            <w:vAlign w:val="center"/>
          </w:tcPr>
          <w:p w14:paraId="23170E88">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更换D700钢钎维盖座（C250级）</w:t>
            </w:r>
          </w:p>
        </w:tc>
        <w:tc>
          <w:tcPr>
            <w:tcW w:w="4191" w:type="dxa"/>
            <w:vAlign w:val="center"/>
          </w:tcPr>
          <w:p w14:paraId="47B79CB8">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安放安全设施、拆除、安装井框、盖、清理场地</w:t>
            </w:r>
          </w:p>
        </w:tc>
        <w:tc>
          <w:tcPr>
            <w:tcW w:w="1633" w:type="dxa"/>
            <w:vAlign w:val="center"/>
          </w:tcPr>
          <w:p w14:paraId="6A042C9D">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600元/套</w:t>
            </w:r>
          </w:p>
        </w:tc>
      </w:tr>
      <w:tr w14:paraId="2CADE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186" w:type="dxa"/>
            <w:vAlign w:val="center"/>
          </w:tcPr>
          <w:p w14:paraId="04002832">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更换D700钢钎维盖（D400级）</w:t>
            </w:r>
          </w:p>
        </w:tc>
        <w:tc>
          <w:tcPr>
            <w:tcW w:w="4191" w:type="dxa"/>
            <w:vAlign w:val="center"/>
          </w:tcPr>
          <w:p w14:paraId="757AD820">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安放安全设施、拆除、安装井盖、清理场地</w:t>
            </w:r>
          </w:p>
        </w:tc>
        <w:tc>
          <w:tcPr>
            <w:tcW w:w="1633" w:type="dxa"/>
            <w:vAlign w:val="center"/>
          </w:tcPr>
          <w:p w14:paraId="04C24A6D">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360元/块</w:t>
            </w:r>
          </w:p>
        </w:tc>
      </w:tr>
      <w:tr w14:paraId="57465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186" w:type="dxa"/>
            <w:vAlign w:val="center"/>
          </w:tcPr>
          <w:p w14:paraId="25D29894">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更换D700钢钎维盖座（D400级）</w:t>
            </w:r>
          </w:p>
        </w:tc>
        <w:tc>
          <w:tcPr>
            <w:tcW w:w="4191" w:type="dxa"/>
            <w:vAlign w:val="center"/>
          </w:tcPr>
          <w:p w14:paraId="46E44768">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安放安全设施、拆除、安装井框、盖、清理场地</w:t>
            </w:r>
          </w:p>
        </w:tc>
        <w:tc>
          <w:tcPr>
            <w:tcW w:w="1633" w:type="dxa"/>
            <w:vAlign w:val="center"/>
          </w:tcPr>
          <w:p w14:paraId="3E943873">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680元/套</w:t>
            </w:r>
          </w:p>
        </w:tc>
      </w:tr>
      <w:tr w14:paraId="7FE97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186" w:type="dxa"/>
            <w:vAlign w:val="center"/>
          </w:tcPr>
          <w:p w14:paraId="4124F7E2">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更换D800钢钎维盖（C250级）</w:t>
            </w:r>
          </w:p>
        </w:tc>
        <w:tc>
          <w:tcPr>
            <w:tcW w:w="4191" w:type="dxa"/>
            <w:vAlign w:val="center"/>
          </w:tcPr>
          <w:p w14:paraId="2B1F69EB">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安放安全设施、拆除、安装井盖、清理场地</w:t>
            </w:r>
          </w:p>
        </w:tc>
        <w:tc>
          <w:tcPr>
            <w:tcW w:w="1633" w:type="dxa"/>
            <w:vAlign w:val="center"/>
          </w:tcPr>
          <w:p w14:paraId="6F2F2D4B">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334元/块</w:t>
            </w:r>
          </w:p>
        </w:tc>
      </w:tr>
      <w:tr w14:paraId="36480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186" w:type="dxa"/>
            <w:vAlign w:val="center"/>
          </w:tcPr>
          <w:p w14:paraId="3A7AC25C">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更换D800钢钎维盖座（C250级）</w:t>
            </w:r>
          </w:p>
        </w:tc>
        <w:tc>
          <w:tcPr>
            <w:tcW w:w="4191" w:type="dxa"/>
            <w:vAlign w:val="center"/>
          </w:tcPr>
          <w:p w14:paraId="509E6D39">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安放安全设施、拆除、安装井框、盖、清理场地</w:t>
            </w:r>
          </w:p>
        </w:tc>
        <w:tc>
          <w:tcPr>
            <w:tcW w:w="1633" w:type="dxa"/>
            <w:vAlign w:val="center"/>
          </w:tcPr>
          <w:p w14:paraId="68D108B5">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700元/套</w:t>
            </w:r>
          </w:p>
        </w:tc>
      </w:tr>
      <w:tr w14:paraId="5372D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186" w:type="dxa"/>
            <w:vAlign w:val="center"/>
          </w:tcPr>
          <w:p w14:paraId="038B9D82">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更换D800钢钎维盖（D400级）</w:t>
            </w:r>
          </w:p>
        </w:tc>
        <w:tc>
          <w:tcPr>
            <w:tcW w:w="4191" w:type="dxa"/>
            <w:vAlign w:val="center"/>
          </w:tcPr>
          <w:p w14:paraId="65B670AC">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安放安全设施、拆除、安装井盖、清理场地</w:t>
            </w:r>
          </w:p>
        </w:tc>
        <w:tc>
          <w:tcPr>
            <w:tcW w:w="1633" w:type="dxa"/>
            <w:vAlign w:val="center"/>
          </w:tcPr>
          <w:p w14:paraId="230D61EF">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392元/块</w:t>
            </w:r>
          </w:p>
        </w:tc>
      </w:tr>
      <w:tr w14:paraId="35016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186" w:type="dxa"/>
            <w:vAlign w:val="center"/>
          </w:tcPr>
          <w:p w14:paraId="77261958">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更换D800钢钎维盖座（D400级）</w:t>
            </w:r>
          </w:p>
        </w:tc>
        <w:tc>
          <w:tcPr>
            <w:tcW w:w="4191" w:type="dxa"/>
            <w:vAlign w:val="center"/>
          </w:tcPr>
          <w:p w14:paraId="38F890BB">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安放安全设施、拆除、安装井框、盖、清理场地</w:t>
            </w:r>
          </w:p>
        </w:tc>
        <w:tc>
          <w:tcPr>
            <w:tcW w:w="1633" w:type="dxa"/>
            <w:vAlign w:val="center"/>
          </w:tcPr>
          <w:p w14:paraId="32D51E8A">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780元/套</w:t>
            </w:r>
          </w:p>
        </w:tc>
      </w:tr>
      <w:tr w14:paraId="1B927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186" w:type="dxa"/>
            <w:vAlign w:val="center"/>
          </w:tcPr>
          <w:p w14:paraId="41DDBD95">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疏通车</w:t>
            </w:r>
          </w:p>
        </w:tc>
        <w:tc>
          <w:tcPr>
            <w:tcW w:w="4191" w:type="dxa"/>
            <w:vAlign w:val="center"/>
          </w:tcPr>
          <w:p w14:paraId="72BEC7C1">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含机械进出场、驾驶员</w:t>
            </w:r>
          </w:p>
        </w:tc>
        <w:tc>
          <w:tcPr>
            <w:tcW w:w="1633" w:type="dxa"/>
            <w:vAlign w:val="center"/>
          </w:tcPr>
          <w:p w14:paraId="1C023405">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2200元/台班</w:t>
            </w:r>
          </w:p>
        </w:tc>
      </w:tr>
      <w:tr w14:paraId="2B23F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186" w:type="dxa"/>
            <w:vAlign w:val="center"/>
          </w:tcPr>
          <w:p w14:paraId="5CC07527">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吸污车5t</w:t>
            </w:r>
          </w:p>
        </w:tc>
        <w:tc>
          <w:tcPr>
            <w:tcW w:w="4191" w:type="dxa"/>
            <w:vAlign w:val="center"/>
          </w:tcPr>
          <w:p w14:paraId="5E5B3926">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含机械进出场、驾驶员，污泥运输并按规范处置，运距自行考虑</w:t>
            </w:r>
          </w:p>
        </w:tc>
        <w:tc>
          <w:tcPr>
            <w:tcW w:w="1633" w:type="dxa"/>
            <w:vAlign w:val="center"/>
          </w:tcPr>
          <w:p w14:paraId="6CAC5ACB">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680元/台班</w:t>
            </w:r>
          </w:p>
        </w:tc>
      </w:tr>
      <w:tr w14:paraId="1E76F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186" w:type="dxa"/>
            <w:vAlign w:val="center"/>
          </w:tcPr>
          <w:p w14:paraId="39A45E46">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吸污车10t</w:t>
            </w:r>
          </w:p>
        </w:tc>
        <w:tc>
          <w:tcPr>
            <w:tcW w:w="4191" w:type="dxa"/>
            <w:vAlign w:val="center"/>
          </w:tcPr>
          <w:p w14:paraId="71C17E04">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含机械进出场、驾驶员，污泥运输并按规范处置，运距自行考虑</w:t>
            </w:r>
          </w:p>
        </w:tc>
        <w:tc>
          <w:tcPr>
            <w:tcW w:w="1633" w:type="dxa"/>
            <w:vAlign w:val="center"/>
          </w:tcPr>
          <w:p w14:paraId="270C5072">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1500元/台班</w:t>
            </w:r>
          </w:p>
        </w:tc>
      </w:tr>
      <w:tr w14:paraId="04288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186" w:type="dxa"/>
            <w:vAlign w:val="center"/>
          </w:tcPr>
          <w:p w14:paraId="1EE67B58">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人工</w:t>
            </w:r>
          </w:p>
        </w:tc>
        <w:tc>
          <w:tcPr>
            <w:tcW w:w="4191" w:type="dxa"/>
            <w:vAlign w:val="center"/>
          </w:tcPr>
          <w:p w14:paraId="0B169D76">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633" w:type="dxa"/>
            <w:vAlign w:val="center"/>
          </w:tcPr>
          <w:p w14:paraId="7DA37E12">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250元/工日</w:t>
            </w:r>
          </w:p>
        </w:tc>
      </w:tr>
      <w:tr w14:paraId="60EDA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186" w:type="dxa"/>
            <w:vAlign w:val="center"/>
          </w:tcPr>
          <w:p w14:paraId="37742B04">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农用车</w:t>
            </w:r>
          </w:p>
        </w:tc>
        <w:tc>
          <w:tcPr>
            <w:tcW w:w="4191" w:type="dxa"/>
            <w:vAlign w:val="center"/>
          </w:tcPr>
          <w:p w14:paraId="7EA31117">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5t</w:t>
            </w:r>
          </w:p>
        </w:tc>
        <w:tc>
          <w:tcPr>
            <w:tcW w:w="1633" w:type="dxa"/>
            <w:vAlign w:val="center"/>
          </w:tcPr>
          <w:p w14:paraId="50D39AFD">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600元/台班</w:t>
            </w:r>
          </w:p>
        </w:tc>
      </w:tr>
      <w:tr w14:paraId="24BAD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186" w:type="dxa"/>
            <w:vAlign w:val="center"/>
          </w:tcPr>
          <w:p w14:paraId="74C7739C">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自卸汽车</w:t>
            </w:r>
          </w:p>
        </w:tc>
        <w:tc>
          <w:tcPr>
            <w:tcW w:w="4191" w:type="dxa"/>
            <w:vAlign w:val="center"/>
          </w:tcPr>
          <w:p w14:paraId="22AB1A3D">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6-8t</w:t>
            </w:r>
          </w:p>
        </w:tc>
        <w:tc>
          <w:tcPr>
            <w:tcW w:w="1633" w:type="dxa"/>
            <w:vAlign w:val="center"/>
          </w:tcPr>
          <w:p w14:paraId="191A65A9">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800元/台班</w:t>
            </w:r>
          </w:p>
        </w:tc>
      </w:tr>
      <w:tr w14:paraId="32829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186" w:type="dxa"/>
            <w:vAlign w:val="center"/>
          </w:tcPr>
          <w:p w14:paraId="7AE8C6E0">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大挖机</w:t>
            </w:r>
          </w:p>
        </w:tc>
        <w:tc>
          <w:tcPr>
            <w:tcW w:w="4191" w:type="dxa"/>
            <w:vAlign w:val="center"/>
          </w:tcPr>
          <w:p w14:paraId="4F228ABE">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1.0m³</w:t>
            </w:r>
          </w:p>
        </w:tc>
        <w:tc>
          <w:tcPr>
            <w:tcW w:w="1633" w:type="dxa"/>
            <w:vAlign w:val="center"/>
          </w:tcPr>
          <w:p w14:paraId="7B316F2A">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2200元/台班</w:t>
            </w:r>
          </w:p>
        </w:tc>
      </w:tr>
      <w:tr w14:paraId="03C542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186" w:type="dxa"/>
            <w:vAlign w:val="center"/>
          </w:tcPr>
          <w:p w14:paraId="3884A4D4">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小挖机</w:t>
            </w:r>
          </w:p>
        </w:tc>
        <w:tc>
          <w:tcPr>
            <w:tcW w:w="4191" w:type="dxa"/>
            <w:vAlign w:val="center"/>
          </w:tcPr>
          <w:p w14:paraId="53B42631">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0.6m³</w:t>
            </w:r>
          </w:p>
        </w:tc>
        <w:tc>
          <w:tcPr>
            <w:tcW w:w="1633" w:type="dxa"/>
            <w:vAlign w:val="center"/>
          </w:tcPr>
          <w:p w14:paraId="412A0316">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1200元/台班</w:t>
            </w:r>
          </w:p>
        </w:tc>
      </w:tr>
      <w:tr w14:paraId="1BC54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186" w:type="dxa"/>
            <w:vAlign w:val="center"/>
          </w:tcPr>
          <w:p w14:paraId="4E2565C5">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挖机拖车费</w:t>
            </w:r>
          </w:p>
        </w:tc>
        <w:tc>
          <w:tcPr>
            <w:tcW w:w="4191" w:type="dxa"/>
            <w:vAlign w:val="center"/>
          </w:tcPr>
          <w:p w14:paraId="0BBE1667">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挖机单次≥1台班不计拖车费</w:t>
            </w:r>
          </w:p>
        </w:tc>
        <w:tc>
          <w:tcPr>
            <w:tcW w:w="1633" w:type="dxa"/>
            <w:vAlign w:val="center"/>
          </w:tcPr>
          <w:p w14:paraId="166E2D1C">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500元/次</w:t>
            </w:r>
          </w:p>
        </w:tc>
      </w:tr>
      <w:tr w14:paraId="17716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186" w:type="dxa"/>
            <w:vAlign w:val="center"/>
          </w:tcPr>
          <w:p w14:paraId="7EB9D511">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发电机组</w:t>
            </w:r>
          </w:p>
        </w:tc>
        <w:tc>
          <w:tcPr>
            <w:tcW w:w="4191" w:type="dxa"/>
            <w:vAlign w:val="center"/>
          </w:tcPr>
          <w:p w14:paraId="3A2FE9EF">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10千瓦</w:t>
            </w:r>
          </w:p>
        </w:tc>
        <w:tc>
          <w:tcPr>
            <w:tcW w:w="1633" w:type="dxa"/>
            <w:vAlign w:val="center"/>
          </w:tcPr>
          <w:p w14:paraId="5B2E39EF">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450元/台班</w:t>
            </w:r>
          </w:p>
        </w:tc>
      </w:tr>
      <w:tr w14:paraId="720E7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186" w:type="dxa"/>
            <w:vAlign w:val="center"/>
          </w:tcPr>
          <w:p w14:paraId="15768244">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发电机组</w:t>
            </w:r>
          </w:p>
        </w:tc>
        <w:tc>
          <w:tcPr>
            <w:tcW w:w="4191" w:type="dxa"/>
            <w:vAlign w:val="center"/>
          </w:tcPr>
          <w:p w14:paraId="7E7016FB">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30千瓦</w:t>
            </w:r>
          </w:p>
        </w:tc>
        <w:tc>
          <w:tcPr>
            <w:tcW w:w="1633" w:type="dxa"/>
            <w:vAlign w:val="center"/>
          </w:tcPr>
          <w:p w14:paraId="2D2EA8CD">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650元/台班</w:t>
            </w:r>
          </w:p>
        </w:tc>
      </w:tr>
    </w:tbl>
    <w:p w14:paraId="33C2E476">
      <w:pPr>
        <w:numPr>
          <w:ilvl w:val="0"/>
          <w:numId w:val="0"/>
        </w:numPr>
        <w:spacing w:line="440" w:lineRule="exact"/>
        <w:ind w:firstLine="482" w:firstLineChars="200"/>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kern w:val="2"/>
          <w:sz w:val="24"/>
          <w:szCs w:val="24"/>
          <w:highlight w:val="none"/>
          <w:lang w:val="en-US" w:eastAsia="zh-CN" w:bidi="ar-SA"/>
        </w:rPr>
        <w:t>3、</w:t>
      </w:r>
      <w:r>
        <w:rPr>
          <w:rFonts w:hint="eastAsia" w:ascii="宋体" w:hAnsi="宋体" w:eastAsia="宋体" w:cs="宋体"/>
          <w:b/>
          <w:bCs/>
          <w:color w:val="auto"/>
          <w:sz w:val="24"/>
          <w:szCs w:val="24"/>
          <w:highlight w:val="none"/>
          <w:lang w:val="en-US" w:eastAsia="zh-CN"/>
        </w:rPr>
        <w:t>防汛配合</w:t>
      </w:r>
    </w:p>
    <w:tbl>
      <w:tblPr>
        <w:tblStyle w:val="5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0"/>
        <w:gridCol w:w="4882"/>
        <w:gridCol w:w="1718"/>
      </w:tblGrid>
      <w:tr w14:paraId="76D9B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40" w:type="dxa"/>
            <w:vAlign w:val="center"/>
          </w:tcPr>
          <w:p w14:paraId="35EAE409">
            <w:pPr>
              <w:keepNext w:val="0"/>
              <w:keepLines w:val="0"/>
              <w:widowControl/>
              <w:suppressLineNumbers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项目名称</w:t>
            </w:r>
          </w:p>
        </w:tc>
        <w:tc>
          <w:tcPr>
            <w:tcW w:w="4882" w:type="dxa"/>
          </w:tcPr>
          <w:p w14:paraId="4DFED88A">
            <w:pPr>
              <w:keepNext w:val="0"/>
              <w:keepLines w:val="0"/>
              <w:widowControl/>
              <w:suppressLineNumbers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作业描述</w:t>
            </w:r>
          </w:p>
        </w:tc>
        <w:tc>
          <w:tcPr>
            <w:tcW w:w="1718" w:type="dxa"/>
            <w:vAlign w:val="center"/>
          </w:tcPr>
          <w:p w14:paraId="4C0545F2">
            <w:pPr>
              <w:keepNext w:val="0"/>
              <w:keepLines w:val="0"/>
              <w:widowControl/>
              <w:suppressLineNumbers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预算单价</w:t>
            </w:r>
          </w:p>
        </w:tc>
      </w:tr>
      <w:tr w14:paraId="233AE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340" w:type="dxa"/>
            <w:vAlign w:val="center"/>
          </w:tcPr>
          <w:p w14:paraId="1918FDC9">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疏通车</w:t>
            </w:r>
          </w:p>
        </w:tc>
        <w:tc>
          <w:tcPr>
            <w:tcW w:w="4882" w:type="dxa"/>
            <w:vAlign w:val="center"/>
          </w:tcPr>
          <w:p w14:paraId="4A93C4AD">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接到通知后24小时待命并配合工作（8小时/台班）</w:t>
            </w:r>
          </w:p>
        </w:tc>
        <w:tc>
          <w:tcPr>
            <w:tcW w:w="1718" w:type="dxa"/>
            <w:vAlign w:val="center"/>
          </w:tcPr>
          <w:p w14:paraId="072F3251">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3000元/台班</w:t>
            </w:r>
          </w:p>
        </w:tc>
      </w:tr>
      <w:tr w14:paraId="3018F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340" w:type="dxa"/>
            <w:vAlign w:val="center"/>
          </w:tcPr>
          <w:p w14:paraId="018B4721">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工程车</w:t>
            </w:r>
          </w:p>
        </w:tc>
        <w:tc>
          <w:tcPr>
            <w:tcW w:w="4882" w:type="dxa"/>
            <w:vAlign w:val="center"/>
          </w:tcPr>
          <w:p w14:paraId="273EA6DA">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接到通知后24小时待命并配合工作（8小时/台班）</w:t>
            </w:r>
          </w:p>
        </w:tc>
        <w:tc>
          <w:tcPr>
            <w:tcW w:w="1718" w:type="dxa"/>
            <w:vAlign w:val="center"/>
          </w:tcPr>
          <w:p w14:paraId="5F313F35">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600元/台班</w:t>
            </w:r>
          </w:p>
        </w:tc>
      </w:tr>
      <w:tr w14:paraId="32A7C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340" w:type="dxa"/>
            <w:vAlign w:val="center"/>
          </w:tcPr>
          <w:p w14:paraId="64E07730">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防汛人工</w:t>
            </w:r>
          </w:p>
        </w:tc>
        <w:tc>
          <w:tcPr>
            <w:tcW w:w="4882" w:type="dxa"/>
            <w:vAlign w:val="center"/>
          </w:tcPr>
          <w:p w14:paraId="71B1E1C5">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接到通知后24小时待命并配合工作（8小时/工日）</w:t>
            </w:r>
          </w:p>
        </w:tc>
        <w:tc>
          <w:tcPr>
            <w:tcW w:w="1718" w:type="dxa"/>
            <w:vAlign w:val="center"/>
          </w:tcPr>
          <w:p w14:paraId="5B9908E7">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320元/工日</w:t>
            </w:r>
          </w:p>
        </w:tc>
      </w:tr>
    </w:tbl>
    <w:p w14:paraId="795988C5">
      <w:pPr>
        <w:numPr>
          <w:ilvl w:val="0"/>
          <w:numId w:val="0"/>
        </w:numPr>
        <w:spacing w:line="440" w:lineRule="exact"/>
        <w:jc w:val="both"/>
        <w:rPr>
          <w:rFonts w:hint="eastAsia" w:ascii="宋体" w:hAnsi="宋体" w:eastAsia="宋体" w:cs="宋体"/>
          <w:b/>
          <w:bCs/>
          <w:color w:val="auto"/>
          <w:sz w:val="24"/>
          <w:szCs w:val="24"/>
          <w:highlight w:val="none"/>
          <w:lang w:val="en-US" w:eastAsia="zh-CN"/>
        </w:rPr>
      </w:pPr>
    </w:p>
    <w:p w14:paraId="7D70E00C">
      <w:pPr>
        <w:spacing w:line="440" w:lineRule="exact"/>
        <w:ind w:firstLine="482" w:firstLineChars="200"/>
        <w:rPr>
          <w:rFonts w:hint="eastAsia" w:ascii="宋体" w:hAnsi="宋体" w:eastAsia="宋体" w:cs="宋体"/>
          <w:color w:val="auto"/>
          <w:kern w:val="0"/>
          <w:sz w:val="24"/>
          <w:szCs w:val="24"/>
          <w:highlight w:val="none"/>
          <w:lang w:eastAsia="zh-CN"/>
        </w:rPr>
      </w:pPr>
      <w:r>
        <w:rPr>
          <w:rFonts w:hint="eastAsia" w:ascii="宋体" w:hAnsi="宋体" w:eastAsia="宋体" w:cs="宋体"/>
          <w:b/>
          <w:bCs/>
          <w:color w:val="auto"/>
          <w:kern w:val="0"/>
          <w:sz w:val="24"/>
          <w:szCs w:val="24"/>
          <w:highlight w:val="none"/>
          <w:lang w:val="en-US" w:eastAsia="zh-CN"/>
        </w:rPr>
        <w:t>②</w:t>
      </w:r>
      <w:r>
        <w:rPr>
          <w:rFonts w:hint="eastAsia" w:ascii="宋体" w:hAnsi="宋体" w:eastAsia="宋体" w:cs="宋体"/>
          <w:b/>
          <w:bCs/>
          <w:color w:val="auto"/>
          <w:kern w:val="0"/>
          <w:sz w:val="24"/>
          <w:szCs w:val="24"/>
          <w:highlight w:val="none"/>
        </w:rPr>
        <w:t>零星维修：</w:t>
      </w:r>
      <w:r>
        <w:rPr>
          <w:rFonts w:hint="eastAsia" w:ascii="宋体" w:hAnsi="宋体" w:eastAsia="宋体" w:cs="宋体"/>
          <w:b w:val="0"/>
          <w:bCs w:val="0"/>
          <w:color w:val="auto"/>
          <w:kern w:val="0"/>
          <w:sz w:val="24"/>
          <w:szCs w:val="24"/>
          <w:highlight w:val="none"/>
          <w:lang w:val="en-US" w:eastAsia="zh-CN" w:bidi="ar-SA"/>
        </w:rPr>
        <w:t>主要负责9套污水独立设施零星维修、超50元的维修零配件</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color w:val="auto"/>
          <w:kern w:val="0"/>
          <w:sz w:val="24"/>
          <w:szCs w:val="24"/>
          <w:highlight w:val="none"/>
        </w:rPr>
        <w:t>该部分内容竣工验收合格后工程量以现场签证为准，竣工结算审核时，若有定额的则按照相关定额计价，若未有定额的则对其综合单价进行合理性分析（依据市场价、询价结果等多方面因素）并</w:t>
      </w:r>
      <w:r>
        <w:rPr>
          <w:rFonts w:hint="eastAsia" w:ascii="宋体" w:hAnsi="宋体" w:eastAsia="宋体" w:cs="宋体"/>
          <w:color w:val="auto"/>
          <w:kern w:val="0"/>
          <w:sz w:val="24"/>
          <w:szCs w:val="24"/>
          <w:highlight w:val="none"/>
          <w:lang w:val="en-US" w:eastAsia="zh-CN"/>
        </w:rPr>
        <w:t>经采购人</w:t>
      </w:r>
      <w:r>
        <w:rPr>
          <w:rFonts w:hint="eastAsia" w:ascii="宋体" w:hAnsi="宋体" w:eastAsia="宋体" w:cs="宋体"/>
          <w:color w:val="auto"/>
          <w:kern w:val="0"/>
          <w:sz w:val="24"/>
          <w:szCs w:val="24"/>
          <w:highlight w:val="none"/>
        </w:rPr>
        <w:t>确认。按上述方式计算出的造价*（1-</w:t>
      </w:r>
      <w:r>
        <w:rPr>
          <w:rFonts w:hint="eastAsia" w:ascii="宋体" w:hAnsi="宋体" w:eastAsia="宋体" w:cs="宋体"/>
          <w:color w:val="auto"/>
          <w:kern w:val="0"/>
          <w:sz w:val="24"/>
          <w:szCs w:val="24"/>
          <w:highlight w:val="none"/>
          <w:lang w:val="en-US" w:eastAsia="zh-CN"/>
        </w:rPr>
        <w:t>中标</w:t>
      </w:r>
      <w:r>
        <w:rPr>
          <w:rFonts w:hint="eastAsia" w:ascii="宋体" w:hAnsi="宋体" w:eastAsia="宋体" w:cs="宋体"/>
          <w:color w:val="auto"/>
          <w:kern w:val="0"/>
          <w:sz w:val="24"/>
          <w:szCs w:val="24"/>
          <w:highlight w:val="none"/>
          <w:lang w:eastAsia="zh-CN"/>
        </w:rPr>
        <w:t>优惠率</w:t>
      </w:r>
      <w:r>
        <w:rPr>
          <w:rFonts w:hint="eastAsia" w:ascii="宋体" w:hAnsi="宋体" w:eastAsia="宋体" w:cs="宋体"/>
          <w:color w:val="auto"/>
          <w:kern w:val="0"/>
          <w:sz w:val="24"/>
          <w:szCs w:val="24"/>
          <w:highlight w:val="none"/>
        </w:rPr>
        <w:t>）作为该部分最终结算价</w:t>
      </w:r>
      <w:r>
        <w:rPr>
          <w:rFonts w:hint="eastAsia" w:ascii="宋体" w:hAnsi="宋体" w:eastAsia="宋体" w:cs="宋体"/>
          <w:color w:val="auto"/>
          <w:kern w:val="0"/>
          <w:sz w:val="24"/>
          <w:szCs w:val="24"/>
          <w:highlight w:val="none"/>
          <w:lang w:eastAsia="zh-CN"/>
        </w:rPr>
        <w:t>。</w:t>
      </w:r>
    </w:p>
    <w:p w14:paraId="32C377B8">
      <w:pPr>
        <w:spacing w:line="440" w:lineRule="exact"/>
        <w:ind w:firstLine="482" w:firstLineChars="200"/>
        <w:rPr>
          <w:rFonts w:hint="eastAsia" w:ascii="宋体" w:hAnsi="宋体" w:eastAsia="宋体" w:cs="宋体"/>
          <w:color w:val="auto"/>
          <w:sz w:val="24"/>
          <w:szCs w:val="24"/>
          <w:highlight w:val="none"/>
          <w:lang w:eastAsia="zh-CN"/>
        </w:rPr>
      </w:pPr>
      <w:r>
        <w:rPr>
          <w:rFonts w:hint="eastAsia" w:ascii="宋体" w:hAnsi="宋体" w:eastAsia="宋体" w:cs="宋体"/>
          <w:b/>
          <w:bCs/>
          <w:color w:val="auto"/>
          <w:kern w:val="0"/>
          <w:sz w:val="24"/>
          <w:szCs w:val="24"/>
          <w:highlight w:val="none"/>
          <w:lang w:val="en-US" w:eastAsia="zh-CN"/>
        </w:rPr>
        <w:t>③</w:t>
      </w:r>
      <w:r>
        <w:rPr>
          <w:rFonts w:hint="eastAsia" w:ascii="宋体" w:hAnsi="宋体" w:eastAsia="宋体" w:cs="宋体"/>
          <w:b/>
          <w:bCs/>
          <w:color w:val="auto"/>
          <w:kern w:val="0"/>
          <w:sz w:val="24"/>
          <w:szCs w:val="24"/>
          <w:highlight w:val="none"/>
        </w:rPr>
        <w:t>管道检测：</w:t>
      </w:r>
      <w:r>
        <w:rPr>
          <w:rFonts w:hint="eastAsia" w:ascii="宋体" w:hAnsi="宋体" w:eastAsia="宋体" w:cs="宋体"/>
          <w:color w:val="auto"/>
          <w:kern w:val="0"/>
          <w:sz w:val="24"/>
          <w:szCs w:val="24"/>
          <w:highlight w:val="none"/>
        </w:rPr>
        <w:t>该部分内容竣工验收合格后工程量以现场签证为准，竣工结算审核时，若招标文件中有提供预算单价的则按照预算单价*（1-</w:t>
      </w:r>
      <w:r>
        <w:rPr>
          <w:rFonts w:hint="eastAsia" w:ascii="宋体" w:hAnsi="宋体" w:eastAsia="宋体" w:cs="宋体"/>
          <w:color w:val="auto"/>
          <w:kern w:val="0"/>
          <w:sz w:val="24"/>
          <w:szCs w:val="24"/>
          <w:highlight w:val="none"/>
          <w:lang w:val="en-US" w:eastAsia="zh-CN"/>
        </w:rPr>
        <w:t>中标</w:t>
      </w:r>
      <w:r>
        <w:rPr>
          <w:rFonts w:hint="eastAsia" w:ascii="宋体" w:hAnsi="宋体" w:eastAsia="宋体" w:cs="宋体"/>
          <w:color w:val="auto"/>
          <w:kern w:val="0"/>
          <w:sz w:val="24"/>
          <w:szCs w:val="24"/>
          <w:highlight w:val="none"/>
          <w:lang w:eastAsia="zh-CN"/>
        </w:rPr>
        <w:t>优惠率</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计</w:t>
      </w:r>
      <w:r>
        <w:rPr>
          <w:rFonts w:hint="eastAsia" w:ascii="宋体" w:hAnsi="宋体" w:eastAsia="宋体" w:cs="宋体"/>
          <w:color w:val="auto"/>
          <w:kern w:val="0"/>
          <w:sz w:val="24"/>
          <w:szCs w:val="24"/>
          <w:highlight w:val="none"/>
        </w:rPr>
        <w:t>结算单价，若无预算单价的则按照相关定额计取，若未有定额的则对其综合单价进行合理性分析（依据市场价、询价结果等多方面因素）并经</w:t>
      </w:r>
      <w:r>
        <w:rPr>
          <w:rFonts w:hint="eastAsia" w:ascii="宋体" w:hAnsi="宋体" w:eastAsia="宋体" w:cs="宋体"/>
          <w:color w:val="auto"/>
          <w:kern w:val="0"/>
          <w:sz w:val="24"/>
          <w:szCs w:val="24"/>
          <w:highlight w:val="none"/>
          <w:lang w:val="en-US" w:eastAsia="zh-CN"/>
        </w:rPr>
        <w:t>采购人</w:t>
      </w:r>
      <w:r>
        <w:rPr>
          <w:rFonts w:hint="eastAsia" w:ascii="宋体" w:hAnsi="宋体" w:eastAsia="宋体" w:cs="宋体"/>
          <w:color w:val="auto"/>
          <w:kern w:val="0"/>
          <w:sz w:val="24"/>
          <w:szCs w:val="24"/>
          <w:highlight w:val="none"/>
        </w:rPr>
        <w:t>确认</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其中管径600mm以下的管道检测成像的预算单价为30元/m（需提供影像资料）</w:t>
      </w:r>
      <w:r>
        <w:rPr>
          <w:rFonts w:hint="eastAsia" w:ascii="宋体" w:hAnsi="宋体" w:eastAsia="宋体" w:cs="宋体"/>
          <w:color w:val="auto"/>
          <w:kern w:val="0"/>
          <w:sz w:val="24"/>
          <w:szCs w:val="24"/>
          <w:highlight w:val="none"/>
          <w:lang w:eastAsia="zh-CN"/>
        </w:rPr>
        <w:t>。</w:t>
      </w:r>
    </w:p>
    <w:p w14:paraId="52942396">
      <w:pPr>
        <w:numPr>
          <w:ilvl w:val="0"/>
          <w:numId w:val="0"/>
        </w:numPr>
        <w:autoSpaceDE w:val="0"/>
        <w:autoSpaceDN w:val="0"/>
        <w:adjustRightInd w:val="0"/>
        <w:spacing w:line="440" w:lineRule="exact"/>
        <w:ind w:firstLine="482" w:firstLineChars="200"/>
        <w:rPr>
          <w:rFonts w:hint="eastAsia" w:ascii="宋体" w:hAnsi="宋体" w:eastAsia="宋体" w:cs="宋体"/>
          <w:b/>
          <w:bCs/>
          <w:color w:val="auto"/>
          <w:sz w:val="28"/>
          <w:szCs w:val="28"/>
          <w:highlight w:val="none"/>
          <w:lang w:val="zh-CN"/>
        </w:rPr>
      </w:pPr>
      <w:r>
        <w:rPr>
          <w:rFonts w:hint="eastAsia" w:ascii="宋体" w:hAnsi="宋体" w:eastAsia="宋体" w:cs="宋体"/>
          <w:b/>
          <w:color w:val="auto"/>
          <w:sz w:val="24"/>
          <w:szCs w:val="24"/>
          <w:highlight w:val="none"/>
          <w:lang w:val="en-US" w:eastAsia="zh-CN"/>
        </w:rPr>
        <w:t>8</w:t>
      </w:r>
      <w:r>
        <w:rPr>
          <w:rFonts w:hint="eastAsia" w:ascii="宋体" w:hAnsi="宋体" w:eastAsia="宋体" w:cs="宋体"/>
          <w:b/>
          <w:color w:val="auto"/>
          <w:sz w:val="24"/>
          <w:szCs w:val="24"/>
          <w:highlight w:val="none"/>
        </w:rPr>
        <w:t>、本项目不得以任何形式进行转包及分包。</w:t>
      </w:r>
    </w:p>
    <w:p w14:paraId="626F0670">
      <w:pPr>
        <w:spacing w:line="460" w:lineRule="exact"/>
        <w:rPr>
          <w:rFonts w:hint="eastAsia" w:ascii="宋体" w:hAnsi="宋体" w:eastAsia="宋体" w:cs="宋体"/>
          <w:b/>
          <w:bCs/>
          <w:color w:val="auto"/>
          <w:sz w:val="28"/>
          <w:szCs w:val="28"/>
          <w:highlight w:val="none"/>
          <w:lang w:val="zh-CN"/>
        </w:rPr>
      </w:pPr>
    </w:p>
    <w:p w14:paraId="40572F75">
      <w:pPr>
        <w:spacing w:line="460" w:lineRule="exact"/>
        <w:rPr>
          <w:rFonts w:hint="eastAsia" w:ascii="宋体" w:hAnsi="宋体" w:eastAsia="宋体" w:cs="宋体"/>
          <w:b/>
          <w:bCs/>
          <w:color w:val="auto"/>
          <w:sz w:val="28"/>
          <w:szCs w:val="28"/>
          <w:highlight w:val="none"/>
          <w:lang w:val="zh-CN"/>
        </w:rPr>
      </w:pPr>
      <w:r>
        <w:rPr>
          <w:rFonts w:hint="eastAsia" w:ascii="宋体" w:hAnsi="宋体" w:eastAsia="宋体" w:cs="宋体"/>
          <w:b/>
          <w:bCs/>
          <w:color w:val="auto"/>
          <w:sz w:val="28"/>
          <w:szCs w:val="28"/>
          <w:highlight w:val="none"/>
          <w:lang w:val="zh-CN"/>
        </w:rPr>
        <w:t>二、</w:t>
      </w:r>
      <w:r>
        <w:rPr>
          <w:rFonts w:hint="eastAsia" w:ascii="宋体" w:hAnsi="宋体" w:eastAsia="宋体" w:cs="宋体"/>
          <w:b/>
          <w:bCs/>
          <w:color w:val="auto"/>
          <w:sz w:val="28"/>
          <w:szCs w:val="28"/>
          <w:highlight w:val="none"/>
          <w:lang w:val="en-US" w:eastAsia="zh-CN"/>
        </w:rPr>
        <w:t>服务内容</w:t>
      </w:r>
      <w:r>
        <w:rPr>
          <w:rFonts w:hint="eastAsia" w:ascii="宋体" w:hAnsi="宋体" w:eastAsia="宋体" w:cs="宋体"/>
          <w:b/>
          <w:bCs/>
          <w:color w:val="auto"/>
          <w:sz w:val="28"/>
          <w:szCs w:val="28"/>
          <w:highlight w:val="none"/>
          <w:lang w:val="zh-CN"/>
        </w:rPr>
        <w:t>：</w:t>
      </w:r>
    </w:p>
    <w:p w14:paraId="60B98239">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完成采购人布置的任务，如遇雨季、台风天巡查，12345投诉工单现场排查核实等，在排查发现问题后上报采购人，在接到采购人通知后对管网管道及窨井进行疏通，疏通产生的积泥清理并处置</w:t>
      </w:r>
      <w:r>
        <w:rPr>
          <w:rFonts w:hint="eastAsia" w:ascii="宋体" w:hAnsi="宋体" w:eastAsia="宋体" w:cs="宋体"/>
          <w:color w:val="auto"/>
          <w:sz w:val="24"/>
          <w:szCs w:val="24"/>
          <w:highlight w:val="none"/>
        </w:rPr>
        <w:t>。</w:t>
      </w:r>
    </w:p>
    <w:p w14:paraId="488EE563">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、零星维修</w:t>
      </w:r>
    </w:p>
    <w:p w14:paraId="39DB35A0">
      <w:pPr>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.1、范围包括但不限于：管道开挖铺设、新建</w:t>
      </w:r>
      <w:r>
        <w:rPr>
          <w:rFonts w:hint="eastAsia" w:ascii="宋体" w:hAnsi="宋体" w:cs="宋体"/>
          <w:color w:val="auto"/>
          <w:sz w:val="24"/>
          <w:szCs w:val="24"/>
          <w:highlight w:val="none"/>
          <w:lang w:val="en-US" w:eastAsia="zh-CN"/>
        </w:rPr>
        <w:t>检查井</w:t>
      </w:r>
      <w:r>
        <w:rPr>
          <w:rFonts w:hint="eastAsia" w:ascii="宋体" w:hAnsi="宋体" w:eastAsia="宋体" w:cs="宋体"/>
          <w:color w:val="auto"/>
          <w:sz w:val="24"/>
          <w:szCs w:val="24"/>
          <w:highlight w:val="none"/>
        </w:rPr>
        <w:t>、更换井盖、改造排管等</w:t>
      </w:r>
      <w:r>
        <w:rPr>
          <w:rFonts w:hint="eastAsia" w:ascii="宋体" w:hAnsi="宋体" w:eastAsia="宋体" w:cs="宋体"/>
          <w:color w:val="auto"/>
          <w:sz w:val="24"/>
          <w:szCs w:val="24"/>
          <w:highlight w:val="none"/>
          <w:lang w:val="en-US" w:eastAsia="zh-CN"/>
        </w:rPr>
        <w:t>。</w:t>
      </w:r>
    </w:p>
    <w:p w14:paraId="7DF3281A">
      <w:pPr>
        <w:spacing w:line="460" w:lineRule="exact"/>
        <w:rPr>
          <w:rFonts w:hint="eastAsia" w:ascii="宋体" w:hAnsi="宋体" w:eastAsia="宋体" w:cs="宋体"/>
          <w:b/>
          <w:bCs/>
          <w:color w:val="auto"/>
          <w:sz w:val="28"/>
          <w:szCs w:val="28"/>
          <w:highlight w:val="none"/>
        </w:rPr>
      </w:pPr>
      <w:bookmarkStart w:id="274" w:name="_Toc485977967"/>
      <w:bookmarkStart w:id="275" w:name="_Toc485992633"/>
    </w:p>
    <w:p w14:paraId="1CBC5766">
      <w:pPr>
        <w:spacing w:line="46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三、</w:t>
      </w:r>
      <w:r>
        <w:rPr>
          <w:rFonts w:hint="eastAsia" w:ascii="宋体" w:hAnsi="宋体" w:eastAsia="宋体" w:cs="宋体"/>
          <w:b/>
          <w:bCs/>
          <w:color w:val="auto"/>
          <w:sz w:val="28"/>
          <w:szCs w:val="28"/>
          <w:highlight w:val="none"/>
          <w:lang w:val="en-US" w:eastAsia="zh-CN"/>
        </w:rPr>
        <w:t>项目服务</w:t>
      </w:r>
      <w:r>
        <w:rPr>
          <w:rFonts w:hint="eastAsia" w:ascii="宋体" w:hAnsi="宋体" w:eastAsia="宋体" w:cs="宋体"/>
          <w:b/>
          <w:bCs/>
          <w:color w:val="auto"/>
          <w:sz w:val="28"/>
          <w:szCs w:val="28"/>
          <w:highlight w:val="none"/>
        </w:rPr>
        <w:t>要求：</w:t>
      </w:r>
    </w:p>
    <w:p w14:paraId="6EB4E300">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1、工作目标</w:t>
      </w:r>
    </w:p>
    <w:p w14:paraId="484C9AA1">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雨污水管道通畅、杜绝污水外溢、检查井、雨水口无淤积物，各种井盖无缺失、无破损、无轧响。</w:t>
      </w:r>
    </w:p>
    <w:p w14:paraId="24695A2E">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2、工作要求</w:t>
      </w:r>
    </w:p>
    <w:p w14:paraId="6A05839A">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投标人必须落实养护各个环节，做好管道的养护、保养和运行管理工作，保证各管道性能良好、运行正常、稳定，技术资料、原始记录齐全。具体要求如下：</w:t>
      </w:r>
    </w:p>
    <w:p w14:paraId="5CE10B0A">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2.1、巡视检查</w:t>
      </w:r>
    </w:p>
    <w:p w14:paraId="490FADB5">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w:t>
      </w:r>
      <w:r>
        <w:rPr>
          <w:rFonts w:hint="eastAsia" w:ascii="宋体" w:hAnsi="宋体" w:cs="宋体"/>
          <w:color w:val="auto"/>
          <w:sz w:val="24"/>
          <w:szCs w:val="24"/>
          <w:highlight w:val="none"/>
          <w:lang w:val="en-US" w:eastAsia="zh-CN"/>
        </w:rPr>
        <w:t>按采购人要求进行巡视检查，</w:t>
      </w:r>
      <w:r>
        <w:rPr>
          <w:rFonts w:hint="eastAsia" w:ascii="宋体" w:hAnsi="宋体" w:eastAsia="宋体" w:cs="宋体"/>
          <w:color w:val="auto"/>
          <w:sz w:val="24"/>
          <w:szCs w:val="24"/>
          <w:highlight w:val="none"/>
        </w:rPr>
        <w:t>巡视内容应包括污水冒溢、晴天雨水口积水、井盖缺损、管道塌陷、违章占压、违规排放、私自接管、雨污混接错接以及影响管道排水的工程施工等情况。</w:t>
      </w:r>
    </w:p>
    <w:p w14:paraId="1DBD788D">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2.1.2、必须固定不少于1人的巡查队伍，恶劣天气、特殊情况、重点路段或根据</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要求应及时增加巡查频率，确保管网设施正常运行和安全。</w:t>
      </w:r>
    </w:p>
    <w:p w14:paraId="358CC461">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2.1.3、检查井日常巡视检查的内容应符合表2的规定。</w:t>
      </w:r>
    </w:p>
    <w:p w14:paraId="45DB7882">
      <w:pPr>
        <w:spacing w:line="440" w:lineRule="exact"/>
        <w:ind w:firstLine="480" w:firstLineChars="20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表2    检查井</w:t>
      </w:r>
      <w:r>
        <w:rPr>
          <w:rFonts w:hint="eastAsia" w:ascii="宋体" w:hAnsi="宋体" w:cs="宋体"/>
          <w:color w:val="auto"/>
          <w:sz w:val="24"/>
          <w:szCs w:val="24"/>
          <w:highlight w:val="none"/>
          <w:lang w:val="en-US" w:eastAsia="zh-CN"/>
        </w:rPr>
        <w:t>巡视</w:t>
      </w:r>
      <w:r>
        <w:rPr>
          <w:rFonts w:hint="eastAsia" w:ascii="宋体" w:hAnsi="宋体" w:eastAsia="宋体" w:cs="宋体"/>
          <w:color w:val="auto"/>
          <w:sz w:val="24"/>
          <w:szCs w:val="24"/>
          <w:highlight w:val="none"/>
        </w:rPr>
        <w:t>检查内容</w:t>
      </w:r>
    </w:p>
    <w:tbl>
      <w:tblPr>
        <w:tblStyle w:val="5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98"/>
        <w:gridCol w:w="2835"/>
        <w:gridCol w:w="3260"/>
      </w:tblGrid>
      <w:tr w14:paraId="6F9E1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198" w:type="dxa"/>
            <w:tcBorders>
              <w:top w:val="single" w:color="auto" w:sz="4" w:space="0"/>
              <w:left w:val="single" w:color="auto" w:sz="4" w:space="0"/>
              <w:bottom w:val="single" w:color="auto" w:sz="4" w:space="0"/>
              <w:right w:val="single" w:color="auto" w:sz="4" w:space="0"/>
              <w:tl2br w:val="single" w:color="auto" w:sz="4" w:space="0"/>
            </w:tcBorders>
            <w:noWrap w:val="0"/>
            <w:vAlign w:val="center"/>
          </w:tcPr>
          <w:p w14:paraId="2191EA9B">
            <w:pPr>
              <w:spacing w:line="440" w:lineRule="exact"/>
              <w:ind w:left="0" w:leftChars="0" w:firstLine="1200" w:firstLineChars="5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部位</w:t>
            </w:r>
          </w:p>
          <w:p w14:paraId="019781CC">
            <w:pPr>
              <w:spacing w:line="440" w:lineRule="exact"/>
              <w:ind w:left="0" w:leftChars="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检查内容</w:t>
            </w:r>
          </w:p>
        </w:tc>
        <w:tc>
          <w:tcPr>
            <w:tcW w:w="2835" w:type="dxa"/>
            <w:tcBorders>
              <w:top w:val="single" w:color="auto" w:sz="4" w:space="0"/>
              <w:left w:val="single" w:color="auto" w:sz="4" w:space="0"/>
              <w:bottom w:val="single" w:color="auto" w:sz="4" w:space="0"/>
              <w:right w:val="single" w:color="auto" w:sz="4" w:space="0"/>
            </w:tcBorders>
            <w:noWrap w:val="0"/>
            <w:vAlign w:val="center"/>
          </w:tcPr>
          <w:p w14:paraId="068824C1">
            <w:pPr>
              <w:spacing w:line="440" w:lineRule="exact"/>
              <w:ind w:left="0" w:leftChars="0"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外部</w:t>
            </w:r>
            <w:r>
              <w:rPr>
                <w:rFonts w:hint="eastAsia" w:ascii="宋体" w:hAnsi="宋体" w:cs="宋体"/>
                <w:color w:val="auto"/>
                <w:sz w:val="24"/>
                <w:szCs w:val="24"/>
                <w:highlight w:val="none"/>
                <w:lang w:val="en-US" w:eastAsia="zh-CN"/>
              </w:rPr>
              <w:t>巡视</w:t>
            </w:r>
          </w:p>
        </w:tc>
        <w:tc>
          <w:tcPr>
            <w:tcW w:w="3260" w:type="dxa"/>
            <w:tcBorders>
              <w:top w:val="single" w:color="auto" w:sz="4" w:space="0"/>
              <w:left w:val="single" w:color="auto" w:sz="4" w:space="0"/>
              <w:bottom w:val="single" w:color="auto" w:sz="4" w:space="0"/>
              <w:right w:val="single" w:color="auto" w:sz="4" w:space="0"/>
            </w:tcBorders>
            <w:noWrap w:val="0"/>
            <w:vAlign w:val="center"/>
          </w:tcPr>
          <w:p w14:paraId="7ACEF683">
            <w:pPr>
              <w:spacing w:line="440" w:lineRule="exact"/>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内部检查</w:t>
            </w:r>
          </w:p>
        </w:tc>
      </w:tr>
      <w:tr w14:paraId="53ADE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2198" w:type="dxa"/>
            <w:vMerge w:val="restart"/>
            <w:tcBorders>
              <w:top w:val="single" w:color="auto" w:sz="4" w:space="0"/>
              <w:left w:val="single" w:color="auto" w:sz="4" w:space="0"/>
              <w:bottom w:val="single" w:color="auto" w:sz="4" w:space="0"/>
              <w:right w:val="single" w:color="auto" w:sz="4" w:space="0"/>
            </w:tcBorders>
            <w:noWrap w:val="0"/>
            <w:vAlign w:val="center"/>
          </w:tcPr>
          <w:p w14:paraId="11173E55">
            <w:pPr>
              <w:spacing w:line="440" w:lineRule="exact"/>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835" w:type="dxa"/>
            <w:tcBorders>
              <w:top w:val="single" w:color="auto" w:sz="4" w:space="0"/>
              <w:left w:val="single" w:color="auto" w:sz="4" w:space="0"/>
              <w:bottom w:val="single" w:color="auto" w:sz="4" w:space="0"/>
              <w:right w:val="single" w:color="auto" w:sz="4" w:space="0"/>
            </w:tcBorders>
            <w:noWrap w:val="0"/>
            <w:vAlign w:val="center"/>
          </w:tcPr>
          <w:p w14:paraId="6138E599">
            <w:pPr>
              <w:spacing w:line="440" w:lineRule="exact"/>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井盖埋没</w:t>
            </w:r>
          </w:p>
        </w:tc>
        <w:tc>
          <w:tcPr>
            <w:tcW w:w="3260" w:type="dxa"/>
            <w:tcBorders>
              <w:top w:val="single" w:color="auto" w:sz="4" w:space="0"/>
              <w:left w:val="single" w:color="auto" w:sz="4" w:space="0"/>
              <w:bottom w:val="single" w:color="auto" w:sz="4" w:space="0"/>
              <w:right w:val="single" w:color="auto" w:sz="4" w:space="0"/>
            </w:tcBorders>
            <w:noWrap w:val="0"/>
            <w:vAlign w:val="center"/>
          </w:tcPr>
          <w:p w14:paraId="52560120">
            <w:pPr>
              <w:spacing w:line="440" w:lineRule="exact"/>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链条、锁具或安全网兜</w:t>
            </w:r>
          </w:p>
        </w:tc>
      </w:tr>
      <w:tr w14:paraId="7E921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2198" w:type="dxa"/>
            <w:vMerge w:val="continue"/>
            <w:tcBorders>
              <w:top w:val="single" w:color="auto" w:sz="4" w:space="0"/>
              <w:left w:val="single" w:color="auto" w:sz="4" w:space="0"/>
              <w:bottom w:val="single" w:color="auto" w:sz="4" w:space="0"/>
              <w:right w:val="single" w:color="auto" w:sz="4" w:space="0"/>
            </w:tcBorders>
            <w:noWrap w:val="0"/>
            <w:vAlign w:val="center"/>
          </w:tcPr>
          <w:p w14:paraId="7B06D0AC">
            <w:pPr>
              <w:spacing w:line="440" w:lineRule="exact"/>
              <w:ind w:firstLine="480" w:firstLineChars="200"/>
              <w:rPr>
                <w:rFonts w:hint="eastAsia" w:ascii="宋体" w:hAnsi="宋体" w:eastAsia="宋体" w:cs="宋体"/>
                <w:color w:val="auto"/>
                <w:sz w:val="24"/>
                <w:szCs w:val="24"/>
                <w:highlight w:val="none"/>
              </w:rPr>
            </w:pPr>
          </w:p>
        </w:tc>
        <w:tc>
          <w:tcPr>
            <w:tcW w:w="2835" w:type="dxa"/>
            <w:tcBorders>
              <w:top w:val="single" w:color="auto" w:sz="4" w:space="0"/>
              <w:left w:val="single" w:color="auto" w:sz="4" w:space="0"/>
              <w:bottom w:val="single" w:color="auto" w:sz="4" w:space="0"/>
              <w:right w:val="single" w:color="auto" w:sz="4" w:space="0"/>
            </w:tcBorders>
            <w:noWrap w:val="0"/>
            <w:vAlign w:val="center"/>
          </w:tcPr>
          <w:p w14:paraId="6BCD1A2A">
            <w:pPr>
              <w:spacing w:line="440" w:lineRule="exact"/>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井盖丢失</w:t>
            </w:r>
          </w:p>
        </w:tc>
        <w:tc>
          <w:tcPr>
            <w:tcW w:w="3260" w:type="dxa"/>
            <w:tcBorders>
              <w:top w:val="single" w:color="auto" w:sz="4" w:space="0"/>
              <w:left w:val="single" w:color="auto" w:sz="4" w:space="0"/>
              <w:bottom w:val="single" w:color="auto" w:sz="4" w:space="0"/>
              <w:right w:val="single" w:color="auto" w:sz="4" w:space="0"/>
            </w:tcBorders>
            <w:noWrap w:val="0"/>
            <w:vAlign w:val="center"/>
          </w:tcPr>
          <w:p w14:paraId="0BDA454A">
            <w:pPr>
              <w:spacing w:line="440" w:lineRule="exact"/>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爬梯松动、锈蚀或缺损</w:t>
            </w:r>
          </w:p>
        </w:tc>
      </w:tr>
      <w:tr w14:paraId="0E369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2198" w:type="dxa"/>
            <w:vMerge w:val="continue"/>
            <w:tcBorders>
              <w:top w:val="single" w:color="auto" w:sz="4" w:space="0"/>
              <w:left w:val="single" w:color="auto" w:sz="4" w:space="0"/>
              <w:bottom w:val="single" w:color="auto" w:sz="4" w:space="0"/>
              <w:right w:val="single" w:color="auto" w:sz="4" w:space="0"/>
            </w:tcBorders>
            <w:noWrap w:val="0"/>
            <w:vAlign w:val="center"/>
          </w:tcPr>
          <w:p w14:paraId="147535E5">
            <w:pPr>
              <w:spacing w:line="440" w:lineRule="exact"/>
              <w:ind w:firstLine="480" w:firstLineChars="200"/>
              <w:rPr>
                <w:rFonts w:hint="eastAsia" w:ascii="宋体" w:hAnsi="宋体" w:eastAsia="宋体" w:cs="宋体"/>
                <w:color w:val="auto"/>
                <w:sz w:val="24"/>
                <w:szCs w:val="24"/>
                <w:highlight w:val="none"/>
              </w:rPr>
            </w:pPr>
          </w:p>
        </w:tc>
        <w:tc>
          <w:tcPr>
            <w:tcW w:w="2835" w:type="dxa"/>
            <w:tcBorders>
              <w:top w:val="single" w:color="auto" w:sz="4" w:space="0"/>
              <w:left w:val="single" w:color="auto" w:sz="4" w:space="0"/>
              <w:bottom w:val="single" w:color="auto" w:sz="4" w:space="0"/>
              <w:right w:val="single" w:color="auto" w:sz="4" w:space="0"/>
            </w:tcBorders>
            <w:noWrap w:val="0"/>
            <w:vAlign w:val="center"/>
          </w:tcPr>
          <w:p w14:paraId="7228ED2F">
            <w:pPr>
              <w:spacing w:line="440" w:lineRule="exact"/>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井盖破损</w:t>
            </w:r>
          </w:p>
        </w:tc>
        <w:tc>
          <w:tcPr>
            <w:tcW w:w="3260" w:type="dxa"/>
            <w:tcBorders>
              <w:top w:val="single" w:color="auto" w:sz="4" w:space="0"/>
              <w:left w:val="single" w:color="auto" w:sz="4" w:space="0"/>
              <w:bottom w:val="single" w:color="auto" w:sz="4" w:space="0"/>
              <w:right w:val="single" w:color="auto" w:sz="4" w:space="0"/>
            </w:tcBorders>
            <w:noWrap w:val="0"/>
            <w:vAlign w:val="center"/>
          </w:tcPr>
          <w:p w14:paraId="081770C4">
            <w:pPr>
              <w:spacing w:line="440" w:lineRule="exact"/>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井壁泥垢</w:t>
            </w:r>
          </w:p>
        </w:tc>
      </w:tr>
      <w:tr w14:paraId="4A067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2198" w:type="dxa"/>
            <w:vMerge w:val="continue"/>
            <w:tcBorders>
              <w:top w:val="single" w:color="auto" w:sz="4" w:space="0"/>
              <w:left w:val="single" w:color="auto" w:sz="4" w:space="0"/>
              <w:bottom w:val="single" w:color="auto" w:sz="4" w:space="0"/>
              <w:right w:val="single" w:color="auto" w:sz="4" w:space="0"/>
            </w:tcBorders>
            <w:noWrap w:val="0"/>
            <w:vAlign w:val="center"/>
          </w:tcPr>
          <w:p w14:paraId="5E866609">
            <w:pPr>
              <w:spacing w:line="440" w:lineRule="exact"/>
              <w:ind w:firstLine="480" w:firstLineChars="200"/>
              <w:rPr>
                <w:rFonts w:hint="eastAsia" w:ascii="宋体" w:hAnsi="宋体" w:eastAsia="宋体" w:cs="宋体"/>
                <w:color w:val="auto"/>
                <w:sz w:val="24"/>
                <w:szCs w:val="24"/>
                <w:highlight w:val="none"/>
              </w:rPr>
            </w:pPr>
          </w:p>
        </w:tc>
        <w:tc>
          <w:tcPr>
            <w:tcW w:w="2835" w:type="dxa"/>
            <w:tcBorders>
              <w:top w:val="single" w:color="auto" w:sz="4" w:space="0"/>
              <w:left w:val="single" w:color="auto" w:sz="4" w:space="0"/>
              <w:bottom w:val="single" w:color="auto" w:sz="4" w:space="0"/>
              <w:right w:val="single" w:color="auto" w:sz="4" w:space="0"/>
            </w:tcBorders>
            <w:noWrap w:val="0"/>
            <w:vAlign w:val="center"/>
          </w:tcPr>
          <w:p w14:paraId="29B05279">
            <w:pPr>
              <w:spacing w:line="440" w:lineRule="exact"/>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井框破损</w:t>
            </w:r>
          </w:p>
        </w:tc>
        <w:tc>
          <w:tcPr>
            <w:tcW w:w="3260" w:type="dxa"/>
            <w:tcBorders>
              <w:top w:val="single" w:color="auto" w:sz="4" w:space="0"/>
              <w:left w:val="single" w:color="auto" w:sz="4" w:space="0"/>
              <w:bottom w:val="single" w:color="auto" w:sz="4" w:space="0"/>
              <w:right w:val="single" w:color="auto" w:sz="4" w:space="0"/>
            </w:tcBorders>
            <w:noWrap w:val="0"/>
            <w:vAlign w:val="center"/>
          </w:tcPr>
          <w:p w14:paraId="50F10529">
            <w:pPr>
              <w:spacing w:line="440" w:lineRule="exact"/>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井壁裂缝</w:t>
            </w:r>
          </w:p>
        </w:tc>
      </w:tr>
      <w:tr w14:paraId="04DCD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2198" w:type="dxa"/>
            <w:vMerge w:val="continue"/>
            <w:tcBorders>
              <w:top w:val="single" w:color="auto" w:sz="4" w:space="0"/>
              <w:left w:val="single" w:color="auto" w:sz="4" w:space="0"/>
              <w:bottom w:val="single" w:color="auto" w:sz="4" w:space="0"/>
              <w:right w:val="single" w:color="auto" w:sz="4" w:space="0"/>
            </w:tcBorders>
            <w:noWrap w:val="0"/>
            <w:vAlign w:val="center"/>
          </w:tcPr>
          <w:p w14:paraId="6F69E574">
            <w:pPr>
              <w:spacing w:line="440" w:lineRule="exact"/>
              <w:ind w:firstLine="480" w:firstLineChars="200"/>
              <w:rPr>
                <w:rFonts w:hint="eastAsia" w:ascii="宋体" w:hAnsi="宋体" w:eastAsia="宋体" w:cs="宋体"/>
                <w:color w:val="auto"/>
                <w:sz w:val="24"/>
                <w:szCs w:val="24"/>
                <w:highlight w:val="none"/>
              </w:rPr>
            </w:pPr>
          </w:p>
        </w:tc>
        <w:tc>
          <w:tcPr>
            <w:tcW w:w="2835" w:type="dxa"/>
            <w:tcBorders>
              <w:top w:val="single" w:color="auto" w:sz="4" w:space="0"/>
              <w:left w:val="single" w:color="auto" w:sz="4" w:space="0"/>
              <w:bottom w:val="single" w:color="auto" w:sz="4" w:space="0"/>
              <w:right w:val="single" w:color="auto" w:sz="4" w:space="0"/>
            </w:tcBorders>
            <w:noWrap w:val="0"/>
            <w:vAlign w:val="center"/>
          </w:tcPr>
          <w:p w14:paraId="40008160">
            <w:pPr>
              <w:spacing w:line="440" w:lineRule="exact"/>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盖、框间隙</w:t>
            </w:r>
          </w:p>
        </w:tc>
        <w:tc>
          <w:tcPr>
            <w:tcW w:w="3260" w:type="dxa"/>
            <w:tcBorders>
              <w:top w:val="single" w:color="auto" w:sz="4" w:space="0"/>
              <w:left w:val="single" w:color="auto" w:sz="4" w:space="0"/>
              <w:bottom w:val="single" w:color="auto" w:sz="4" w:space="0"/>
              <w:right w:val="single" w:color="auto" w:sz="4" w:space="0"/>
            </w:tcBorders>
            <w:noWrap w:val="0"/>
            <w:vAlign w:val="center"/>
          </w:tcPr>
          <w:p w14:paraId="6AF36788">
            <w:pPr>
              <w:spacing w:line="440" w:lineRule="exact"/>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井壁渗漏</w:t>
            </w:r>
          </w:p>
        </w:tc>
      </w:tr>
      <w:tr w14:paraId="2F71D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2198" w:type="dxa"/>
            <w:vMerge w:val="continue"/>
            <w:tcBorders>
              <w:top w:val="single" w:color="auto" w:sz="4" w:space="0"/>
              <w:left w:val="single" w:color="auto" w:sz="4" w:space="0"/>
              <w:bottom w:val="single" w:color="auto" w:sz="4" w:space="0"/>
              <w:right w:val="single" w:color="auto" w:sz="4" w:space="0"/>
            </w:tcBorders>
            <w:noWrap w:val="0"/>
            <w:vAlign w:val="center"/>
          </w:tcPr>
          <w:p w14:paraId="74058104">
            <w:pPr>
              <w:spacing w:line="440" w:lineRule="exact"/>
              <w:ind w:firstLine="480" w:firstLineChars="200"/>
              <w:rPr>
                <w:rFonts w:hint="eastAsia" w:ascii="宋体" w:hAnsi="宋体" w:eastAsia="宋体" w:cs="宋体"/>
                <w:color w:val="auto"/>
                <w:sz w:val="24"/>
                <w:szCs w:val="24"/>
                <w:highlight w:val="none"/>
              </w:rPr>
            </w:pPr>
          </w:p>
        </w:tc>
        <w:tc>
          <w:tcPr>
            <w:tcW w:w="2835" w:type="dxa"/>
            <w:tcBorders>
              <w:top w:val="single" w:color="auto" w:sz="4" w:space="0"/>
              <w:left w:val="single" w:color="auto" w:sz="4" w:space="0"/>
              <w:bottom w:val="single" w:color="auto" w:sz="4" w:space="0"/>
              <w:right w:val="single" w:color="auto" w:sz="4" w:space="0"/>
            </w:tcBorders>
            <w:noWrap w:val="0"/>
            <w:vAlign w:val="center"/>
          </w:tcPr>
          <w:p w14:paraId="41ECEB91">
            <w:pPr>
              <w:spacing w:line="440" w:lineRule="exact"/>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盖、框高差</w:t>
            </w:r>
          </w:p>
        </w:tc>
        <w:tc>
          <w:tcPr>
            <w:tcW w:w="3260" w:type="dxa"/>
            <w:tcBorders>
              <w:top w:val="single" w:color="auto" w:sz="4" w:space="0"/>
              <w:left w:val="single" w:color="auto" w:sz="4" w:space="0"/>
              <w:bottom w:val="single" w:color="auto" w:sz="4" w:space="0"/>
              <w:right w:val="single" w:color="auto" w:sz="4" w:space="0"/>
            </w:tcBorders>
            <w:noWrap w:val="0"/>
            <w:vAlign w:val="center"/>
          </w:tcPr>
          <w:p w14:paraId="40698A77">
            <w:pPr>
              <w:spacing w:line="440" w:lineRule="exact"/>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抹面脱落</w:t>
            </w:r>
          </w:p>
        </w:tc>
      </w:tr>
      <w:tr w14:paraId="23BC1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2198" w:type="dxa"/>
            <w:vMerge w:val="continue"/>
            <w:tcBorders>
              <w:top w:val="single" w:color="auto" w:sz="4" w:space="0"/>
              <w:left w:val="single" w:color="auto" w:sz="4" w:space="0"/>
              <w:bottom w:val="single" w:color="auto" w:sz="4" w:space="0"/>
              <w:right w:val="single" w:color="auto" w:sz="4" w:space="0"/>
            </w:tcBorders>
            <w:noWrap w:val="0"/>
            <w:vAlign w:val="center"/>
          </w:tcPr>
          <w:p w14:paraId="072DF4A2">
            <w:pPr>
              <w:spacing w:line="440" w:lineRule="exact"/>
              <w:ind w:firstLine="480" w:firstLineChars="200"/>
              <w:rPr>
                <w:rFonts w:hint="eastAsia" w:ascii="宋体" w:hAnsi="宋体" w:eastAsia="宋体" w:cs="宋体"/>
                <w:color w:val="auto"/>
                <w:sz w:val="24"/>
                <w:szCs w:val="24"/>
                <w:highlight w:val="none"/>
              </w:rPr>
            </w:pPr>
          </w:p>
        </w:tc>
        <w:tc>
          <w:tcPr>
            <w:tcW w:w="2835" w:type="dxa"/>
            <w:tcBorders>
              <w:top w:val="single" w:color="auto" w:sz="4" w:space="0"/>
              <w:left w:val="single" w:color="auto" w:sz="4" w:space="0"/>
              <w:bottom w:val="single" w:color="auto" w:sz="4" w:space="0"/>
              <w:right w:val="single" w:color="auto" w:sz="4" w:space="0"/>
            </w:tcBorders>
            <w:noWrap w:val="0"/>
            <w:vAlign w:val="center"/>
          </w:tcPr>
          <w:p w14:paraId="22A35D20">
            <w:pPr>
              <w:spacing w:line="440" w:lineRule="exact"/>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盖框突出或凹陷</w:t>
            </w:r>
          </w:p>
        </w:tc>
        <w:tc>
          <w:tcPr>
            <w:tcW w:w="3260" w:type="dxa"/>
            <w:tcBorders>
              <w:top w:val="single" w:color="auto" w:sz="4" w:space="0"/>
              <w:left w:val="single" w:color="auto" w:sz="4" w:space="0"/>
              <w:bottom w:val="single" w:color="auto" w:sz="4" w:space="0"/>
              <w:right w:val="single" w:color="auto" w:sz="4" w:space="0"/>
            </w:tcBorders>
            <w:noWrap w:val="0"/>
            <w:vAlign w:val="center"/>
          </w:tcPr>
          <w:p w14:paraId="3142E94E">
            <w:pPr>
              <w:spacing w:line="440" w:lineRule="exact"/>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管口孔洞</w:t>
            </w:r>
          </w:p>
        </w:tc>
      </w:tr>
      <w:tr w14:paraId="302D4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2198" w:type="dxa"/>
            <w:vMerge w:val="restart"/>
            <w:tcBorders>
              <w:top w:val="nil"/>
              <w:left w:val="single" w:color="auto" w:sz="4" w:space="0"/>
              <w:right w:val="single" w:color="auto" w:sz="4" w:space="0"/>
            </w:tcBorders>
            <w:noWrap w:val="0"/>
            <w:vAlign w:val="center"/>
          </w:tcPr>
          <w:p w14:paraId="393955F2">
            <w:pPr>
              <w:spacing w:line="440" w:lineRule="exact"/>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2835" w:type="dxa"/>
            <w:tcBorders>
              <w:top w:val="single" w:color="auto" w:sz="4" w:space="0"/>
              <w:left w:val="single" w:color="auto" w:sz="4" w:space="0"/>
              <w:bottom w:val="single" w:color="auto" w:sz="4" w:space="0"/>
              <w:right w:val="single" w:color="auto" w:sz="4" w:space="0"/>
            </w:tcBorders>
            <w:noWrap w:val="0"/>
            <w:vAlign w:val="center"/>
          </w:tcPr>
          <w:p w14:paraId="08872DE9">
            <w:pPr>
              <w:spacing w:line="440" w:lineRule="exact"/>
              <w:ind w:left="0" w:leftChars="0"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外部</w:t>
            </w:r>
            <w:r>
              <w:rPr>
                <w:rFonts w:hint="eastAsia" w:ascii="宋体" w:hAnsi="宋体" w:cs="宋体"/>
                <w:color w:val="auto"/>
                <w:sz w:val="24"/>
                <w:szCs w:val="24"/>
                <w:highlight w:val="none"/>
                <w:lang w:val="en-US" w:eastAsia="zh-CN"/>
              </w:rPr>
              <w:t>巡视</w:t>
            </w:r>
          </w:p>
        </w:tc>
        <w:tc>
          <w:tcPr>
            <w:tcW w:w="3260" w:type="dxa"/>
            <w:tcBorders>
              <w:top w:val="single" w:color="auto" w:sz="4" w:space="0"/>
              <w:left w:val="single" w:color="auto" w:sz="4" w:space="0"/>
              <w:bottom w:val="single" w:color="auto" w:sz="4" w:space="0"/>
              <w:right w:val="single" w:color="auto" w:sz="4" w:space="0"/>
            </w:tcBorders>
            <w:noWrap w:val="0"/>
            <w:vAlign w:val="center"/>
          </w:tcPr>
          <w:p w14:paraId="086A28E5">
            <w:pPr>
              <w:spacing w:line="440" w:lineRule="exact"/>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内部检查</w:t>
            </w:r>
          </w:p>
        </w:tc>
      </w:tr>
      <w:tr w14:paraId="0E97B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2198" w:type="dxa"/>
            <w:vMerge w:val="continue"/>
            <w:tcBorders>
              <w:top w:val="nil"/>
              <w:left w:val="single" w:color="auto" w:sz="4" w:space="0"/>
              <w:right w:val="single" w:color="auto" w:sz="4" w:space="0"/>
            </w:tcBorders>
            <w:noWrap w:val="0"/>
            <w:vAlign w:val="center"/>
          </w:tcPr>
          <w:p w14:paraId="65124B9B">
            <w:pPr>
              <w:spacing w:line="440" w:lineRule="exact"/>
              <w:ind w:firstLine="480" w:firstLineChars="200"/>
              <w:rPr>
                <w:rFonts w:hint="eastAsia" w:ascii="宋体" w:hAnsi="宋体" w:eastAsia="宋体" w:cs="宋体"/>
                <w:color w:val="auto"/>
                <w:sz w:val="24"/>
                <w:szCs w:val="24"/>
                <w:highlight w:val="none"/>
              </w:rPr>
            </w:pPr>
          </w:p>
        </w:tc>
        <w:tc>
          <w:tcPr>
            <w:tcW w:w="2835" w:type="dxa"/>
            <w:tcBorders>
              <w:top w:val="single" w:color="auto" w:sz="4" w:space="0"/>
              <w:left w:val="single" w:color="auto" w:sz="4" w:space="0"/>
              <w:bottom w:val="single" w:color="auto" w:sz="4" w:space="0"/>
              <w:right w:val="single" w:color="auto" w:sz="4" w:space="0"/>
            </w:tcBorders>
            <w:noWrap w:val="0"/>
            <w:vAlign w:val="center"/>
          </w:tcPr>
          <w:p w14:paraId="5801CAE5">
            <w:pPr>
              <w:spacing w:line="440" w:lineRule="exact"/>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跳动和声响</w:t>
            </w:r>
          </w:p>
        </w:tc>
        <w:tc>
          <w:tcPr>
            <w:tcW w:w="3260" w:type="dxa"/>
            <w:tcBorders>
              <w:top w:val="single" w:color="auto" w:sz="4" w:space="0"/>
              <w:left w:val="single" w:color="auto" w:sz="4" w:space="0"/>
              <w:bottom w:val="single" w:color="auto" w:sz="4" w:space="0"/>
              <w:right w:val="single" w:color="auto" w:sz="4" w:space="0"/>
            </w:tcBorders>
            <w:noWrap w:val="0"/>
            <w:vAlign w:val="center"/>
          </w:tcPr>
          <w:p w14:paraId="4CAA83B7">
            <w:pPr>
              <w:spacing w:line="440" w:lineRule="exact"/>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流槽破损</w:t>
            </w:r>
          </w:p>
        </w:tc>
      </w:tr>
      <w:tr w14:paraId="521B3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2198" w:type="dxa"/>
            <w:vMerge w:val="continue"/>
            <w:tcBorders>
              <w:top w:val="nil"/>
              <w:left w:val="single" w:color="auto" w:sz="4" w:space="0"/>
              <w:right w:val="single" w:color="auto" w:sz="4" w:space="0"/>
            </w:tcBorders>
            <w:noWrap w:val="0"/>
            <w:vAlign w:val="center"/>
          </w:tcPr>
          <w:p w14:paraId="3F579BD6">
            <w:pPr>
              <w:spacing w:line="440" w:lineRule="exact"/>
              <w:ind w:firstLine="480" w:firstLineChars="200"/>
              <w:rPr>
                <w:rFonts w:hint="eastAsia" w:ascii="宋体" w:hAnsi="宋体" w:eastAsia="宋体" w:cs="宋体"/>
                <w:color w:val="auto"/>
                <w:sz w:val="24"/>
                <w:szCs w:val="24"/>
                <w:highlight w:val="none"/>
              </w:rPr>
            </w:pPr>
          </w:p>
        </w:tc>
        <w:tc>
          <w:tcPr>
            <w:tcW w:w="2835" w:type="dxa"/>
            <w:tcBorders>
              <w:top w:val="single" w:color="auto" w:sz="4" w:space="0"/>
              <w:left w:val="single" w:color="auto" w:sz="4" w:space="0"/>
              <w:bottom w:val="single" w:color="auto" w:sz="4" w:space="0"/>
              <w:right w:val="single" w:color="auto" w:sz="4" w:space="0"/>
            </w:tcBorders>
            <w:noWrap w:val="0"/>
            <w:vAlign w:val="center"/>
          </w:tcPr>
          <w:p w14:paraId="0E47CFD0">
            <w:pPr>
              <w:spacing w:line="440" w:lineRule="exact"/>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周边路面破损</w:t>
            </w:r>
          </w:p>
        </w:tc>
        <w:tc>
          <w:tcPr>
            <w:tcW w:w="3260" w:type="dxa"/>
            <w:tcBorders>
              <w:top w:val="single" w:color="auto" w:sz="4" w:space="0"/>
              <w:left w:val="single" w:color="auto" w:sz="4" w:space="0"/>
              <w:bottom w:val="single" w:color="auto" w:sz="4" w:space="0"/>
              <w:right w:val="single" w:color="auto" w:sz="4" w:space="0"/>
            </w:tcBorders>
            <w:noWrap w:val="0"/>
            <w:vAlign w:val="center"/>
          </w:tcPr>
          <w:p w14:paraId="3CE2B1C9">
            <w:pPr>
              <w:spacing w:line="440" w:lineRule="exact"/>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井底积泥</w:t>
            </w:r>
          </w:p>
        </w:tc>
      </w:tr>
      <w:tr w14:paraId="53462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2198" w:type="dxa"/>
            <w:vMerge w:val="continue"/>
            <w:tcBorders>
              <w:top w:val="nil"/>
              <w:left w:val="single" w:color="auto" w:sz="4" w:space="0"/>
              <w:right w:val="single" w:color="auto" w:sz="4" w:space="0"/>
            </w:tcBorders>
            <w:noWrap w:val="0"/>
            <w:vAlign w:val="center"/>
          </w:tcPr>
          <w:p w14:paraId="3D0E5444">
            <w:pPr>
              <w:spacing w:line="440" w:lineRule="exact"/>
              <w:ind w:firstLine="480" w:firstLineChars="200"/>
              <w:rPr>
                <w:rFonts w:hint="eastAsia" w:ascii="宋体" w:hAnsi="宋体" w:eastAsia="宋体" w:cs="宋体"/>
                <w:color w:val="auto"/>
                <w:sz w:val="24"/>
                <w:szCs w:val="24"/>
                <w:highlight w:val="none"/>
              </w:rPr>
            </w:pPr>
          </w:p>
        </w:tc>
        <w:tc>
          <w:tcPr>
            <w:tcW w:w="2835" w:type="dxa"/>
            <w:tcBorders>
              <w:top w:val="single" w:color="auto" w:sz="4" w:space="0"/>
              <w:left w:val="single" w:color="auto" w:sz="4" w:space="0"/>
              <w:bottom w:val="single" w:color="auto" w:sz="4" w:space="0"/>
              <w:right w:val="single" w:color="auto" w:sz="4" w:space="0"/>
            </w:tcBorders>
            <w:noWrap w:val="0"/>
            <w:vAlign w:val="center"/>
          </w:tcPr>
          <w:p w14:paraId="2B30EE48">
            <w:pPr>
              <w:spacing w:line="440" w:lineRule="exact"/>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井盖标识错误</w:t>
            </w:r>
          </w:p>
        </w:tc>
        <w:tc>
          <w:tcPr>
            <w:tcW w:w="3260" w:type="dxa"/>
            <w:tcBorders>
              <w:top w:val="single" w:color="auto" w:sz="4" w:space="0"/>
              <w:left w:val="single" w:color="auto" w:sz="4" w:space="0"/>
              <w:bottom w:val="single" w:color="auto" w:sz="4" w:space="0"/>
              <w:right w:val="single" w:color="auto" w:sz="4" w:space="0"/>
            </w:tcBorders>
            <w:noWrap w:val="0"/>
            <w:vAlign w:val="center"/>
          </w:tcPr>
          <w:p w14:paraId="1441B046">
            <w:pPr>
              <w:spacing w:line="440" w:lineRule="exact"/>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水流不畅</w:t>
            </w:r>
          </w:p>
        </w:tc>
      </w:tr>
      <w:tr w14:paraId="0EA12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2198" w:type="dxa"/>
            <w:vMerge w:val="continue"/>
            <w:tcBorders>
              <w:top w:val="nil"/>
              <w:left w:val="single" w:color="auto" w:sz="4" w:space="0"/>
              <w:bottom w:val="single" w:color="auto" w:sz="4" w:space="0"/>
              <w:right w:val="single" w:color="auto" w:sz="4" w:space="0"/>
            </w:tcBorders>
            <w:noWrap w:val="0"/>
            <w:vAlign w:val="center"/>
          </w:tcPr>
          <w:p w14:paraId="23F2A585">
            <w:pPr>
              <w:spacing w:line="440" w:lineRule="exact"/>
              <w:ind w:firstLine="480" w:firstLineChars="200"/>
              <w:rPr>
                <w:rFonts w:hint="eastAsia" w:ascii="宋体" w:hAnsi="宋体" w:eastAsia="宋体" w:cs="宋体"/>
                <w:color w:val="auto"/>
                <w:sz w:val="24"/>
                <w:szCs w:val="24"/>
                <w:highlight w:val="none"/>
              </w:rPr>
            </w:pPr>
          </w:p>
        </w:tc>
        <w:tc>
          <w:tcPr>
            <w:tcW w:w="2835" w:type="dxa"/>
            <w:tcBorders>
              <w:top w:val="single" w:color="auto" w:sz="4" w:space="0"/>
              <w:left w:val="single" w:color="auto" w:sz="4" w:space="0"/>
              <w:bottom w:val="single" w:color="auto" w:sz="4" w:space="0"/>
              <w:right w:val="single" w:color="auto" w:sz="4" w:space="0"/>
            </w:tcBorders>
            <w:noWrap w:val="0"/>
            <w:vAlign w:val="center"/>
          </w:tcPr>
          <w:p w14:paraId="10FA7740">
            <w:pPr>
              <w:spacing w:line="440" w:lineRule="exact"/>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其它</w:t>
            </w:r>
          </w:p>
        </w:tc>
        <w:tc>
          <w:tcPr>
            <w:tcW w:w="3260" w:type="dxa"/>
            <w:tcBorders>
              <w:top w:val="single" w:color="auto" w:sz="4" w:space="0"/>
              <w:left w:val="single" w:color="auto" w:sz="4" w:space="0"/>
              <w:bottom w:val="single" w:color="auto" w:sz="4" w:space="0"/>
              <w:right w:val="single" w:color="auto" w:sz="4" w:space="0"/>
            </w:tcBorders>
            <w:noWrap w:val="0"/>
            <w:vAlign w:val="center"/>
          </w:tcPr>
          <w:p w14:paraId="7C1E08A8">
            <w:pPr>
              <w:spacing w:line="440" w:lineRule="exact"/>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浮渣</w:t>
            </w:r>
          </w:p>
        </w:tc>
      </w:tr>
    </w:tbl>
    <w:p w14:paraId="63A784A0">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2.1.4、雨水口</w:t>
      </w:r>
      <w:r>
        <w:rPr>
          <w:rFonts w:hint="eastAsia" w:ascii="宋体" w:hAnsi="宋体" w:cs="宋体"/>
          <w:color w:val="auto"/>
          <w:sz w:val="24"/>
          <w:szCs w:val="24"/>
          <w:highlight w:val="none"/>
          <w:lang w:val="en-US" w:eastAsia="zh-CN"/>
        </w:rPr>
        <w:t>巡视</w:t>
      </w:r>
      <w:r>
        <w:rPr>
          <w:rFonts w:hint="eastAsia" w:ascii="宋体" w:hAnsi="宋体" w:eastAsia="宋体" w:cs="宋体"/>
          <w:color w:val="auto"/>
          <w:sz w:val="24"/>
          <w:szCs w:val="24"/>
          <w:highlight w:val="none"/>
        </w:rPr>
        <w:t>检查的内容应符合下列表3的规定</w:t>
      </w:r>
    </w:p>
    <w:p w14:paraId="4043CB65">
      <w:pPr>
        <w:spacing w:line="440" w:lineRule="exact"/>
        <w:ind w:firstLine="480" w:firstLineChars="20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表3    雨水口</w:t>
      </w:r>
      <w:r>
        <w:rPr>
          <w:rFonts w:hint="eastAsia" w:ascii="宋体" w:hAnsi="宋体" w:cs="宋体"/>
          <w:color w:val="auto"/>
          <w:sz w:val="24"/>
          <w:szCs w:val="24"/>
          <w:highlight w:val="none"/>
          <w:lang w:val="en-US" w:eastAsia="zh-CN"/>
        </w:rPr>
        <w:t>巡视</w:t>
      </w:r>
      <w:r>
        <w:rPr>
          <w:rFonts w:hint="eastAsia" w:ascii="宋体" w:hAnsi="宋体" w:eastAsia="宋体" w:cs="宋体"/>
          <w:color w:val="auto"/>
          <w:sz w:val="24"/>
          <w:szCs w:val="24"/>
          <w:highlight w:val="none"/>
        </w:rPr>
        <w:t>检查的内容</w:t>
      </w:r>
    </w:p>
    <w:tbl>
      <w:tblPr>
        <w:tblStyle w:val="5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80"/>
        <w:gridCol w:w="3125"/>
        <w:gridCol w:w="3257"/>
      </w:tblGrid>
      <w:tr w14:paraId="70F43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80" w:type="dxa"/>
            <w:tcBorders>
              <w:top w:val="single" w:color="auto" w:sz="4" w:space="0"/>
              <w:left w:val="single" w:color="auto" w:sz="4" w:space="0"/>
              <w:bottom w:val="single" w:color="auto" w:sz="4" w:space="0"/>
              <w:right w:val="single" w:color="auto" w:sz="4" w:space="0"/>
              <w:tl2br w:val="single" w:color="auto" w:sz="4" w:space="0"/>
            </w:tcBorders>
            <w:noWrap w:val="0"/>
            <w:vAlign w:val="top"/>
          </w:tcPr>
          <w:p w14:paraId="277E715C">
            <w:pPr>
              <w:spacing w:line="440" w:lineRule="exact"/>
              <w:ind w:firstLine="960" w:firstLineChars="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部位</w:t>
            </w:r>
          </w:p>
          <w:p w14:paraId="1ADD3C8D">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检查内容</w:t>
            </w:r>
          </w:p>
        </w:tc>
        <w:tc>
          <w:tcPr>
            <w:tcW w:w="3125" w:type="dxa"/>
            <w:tcBorders>
              <w:top w:val="single" w:color="auto" w:sz="4" w:space="0"/>
              <w:left w:val="single" w:color="auto" w:sz="4" w:space="0"/>
              <w:bottom w:val="single" w:color="auto" w:sz="4" w:space="0"/>
              <w:right w:val="single" w:color="auto" w:sz="4" w:space="0"/>
            </w:tcBorders>
            <w:noWrap w:val="0"/>
            <w:vAlign w:val="center"/>
          </w:tcPr>
          <w:p w14:paraId="6FCB7C99">
            <w:pPr>
              <w:spacing w:line="440" w:lineRule="exact"/>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外部检查</w:t>
            </w:r>
          </w:p>
        </w:tc>
        <w:tc>
          <w:tcPr>
            <w:tcW w:w="3257" w:type="dxa"/>
            <w:tcBorders>
              <w:top w:val="single" w:color="auto" w:sz="4" w:space="0"/>
              <w:left w:val="single" w:color="auto" w:sz="4" w:space="0"/>
              <w:bottom w:val="single" w:color="auto" w:sz="4" w:space="0"/>
              <w:right w:val="single" w:color="auto" w:sz="4" w:space="0"/>
            </w:tcBorders>
            <w:noWrap w:val="0"/>
            <w:vAlign w:val="center"/>
          </w:tcPr>
          <w:p w14:paraId="4B75D6F0">
            <w:pPr>
              <w:spacing w:line="440" w:lineRule="exact"/>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内部检查</w:t>
            </w:r>
          </w:p>
        </w:tc>
      </w:tr>
      <w:tr w14:paraId="1E154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880" w:type="dxa"/>
            <w:vMerge w:val="restart"/>
            <w:tcBorders>
              <w:top w:val="single" w:color="auto" w:sz="4" w:space="0"/>
              <w:left w:val="single" w:color="auto" w:sz="4" w:space="0"/>
              <w:bottom w:val="single" w:color="auto" w:sz="4" w:space="0"/>
              <w:right w:val="single" w:color="auto" w:sz="4" w:space="0"/>
            </w:tcBorders>
            <w:noWrap w:val="0"/>
            <w:vAlign w:val="center"/>
          </w:tcPr>
          <w:p w14:paraId="63611239">
            <w:pPr>
              <w:spacing w:line="440" w:lineRule="exact"/>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3125" w:type="dxa"/>
            <w:tcBorders>
              <w:top w:val="single" w:color="auto" w:sz="4" w:space="0"/>
              <w:left w:val="single" w:color="auto" w:sz="4" w:space="0"/>
              <w:bottom w:val="single" w:color="auto" w:sz="4" w:space="0"/>
              <w:right w:val="single" w:color="auto" w:sz="4" w:space="0"/>
            </w:tcBorders>
            <w:noWrap w:val="0"/>
            <w:vAlign w:val="center"/>
          </w:tcPr>
          <w:p w14:paraId="2A5B9FEE">
            <w:pPr>
              <w:spacing w:line="440" w:lineRule="exact"/>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雨水箅丢失</w:t>
            </w:r>
          </w:p>
        </w:tc>
        <w:tc>
          <w:tcPr>
            <w:tcW w:w="3257" w:type="dxa"/>
            <w:tcBorders>
              <w:top w:val="single" w:color="auto" w:sz="4" w:space="0"/>
              <w:left w:val="single" w:color="auto" w:sz="4" w:space="0"/>
              <w:bottom w:val="single" w:color="auto" w:sz="4" w:space="0"/>
              <w:right w:val="single" w:color="auto" w:sz="4" w:space="0"/>
            </w:tcBorders>
            <w:noWrap w:val="0"/>
            <w:vAlign w:val="center"/>
          </w:tcPr>
          <w:p w14:paraId="588A749C">
            <w:pPr>
              <w:spacing w:line="440" w:lineRule="exact"/>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铰或链条损坏</w:t>
            </w:r>
          </w:p>
        </w:tc>
      </w:tr>
      <w:tr w14:paraId="05309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880" w:type="dxa"/>
            <w:vMerge w:val="continue"/>
            <w:tcBorders>
              <w:top w:val="single" w:color="auto" w:sz="4" w:space="0"/>
              <w:left w:val="single" w:color="auto" w:sz="4" w:space="0"/>
              <w:bottom w:val="single" w:color="auto" w:sz="4" w:space="0"/>
              <w:right w:val="single" w:color="auto" w:sz="4" w:space="0"/>
            </w:tcBorders>
            <w:noWrap w:val="0"/>
            <w:vAlign w:val="center"/>
          </w:tcPr>
          <w:p w14:paraId="607E7D89">
            <w:pPr>
              <w:spacing w:line="440" w:lineRule="exact"/>
              <w:ind w:firstLine="480" w:firstLineChars="200"/>
              <w:rPr>
                <w:rFonts w:hint="eastAsia" w:ascii="宋体" w:hAnsi="宋体" w:eastAsia="宋体" w:cs="宋体"/>
                <w:color w:val="auto"/>
                <w:sz w:val="24"/>
                <w:szCs w:val="24"/>
                <w:highlight w:val="none"/>
              </w:rPr>
            </w:pPr>
          </w:p>
        </w:tc>
        <w:tc>
          <w:tcPr>
            <w:tcW w:w="3125" w:type="dxa"/>
            <w:tcBorders>
              <w:top w:val="single" w:color="auto" w:sz="4" w:space="0"/>
              <w:left w:val="single" w:color="auto" w:sz="4" w:space="0"/>
              <w:bottom w:val="single" w:color="auto" w:sz="4" w:space="0"/>
              <w:right w:val="single" w:color="auto" w:sz="4" w:space="0"/>
            </w:tcBorders>
            <w:noWrap w:val="0"/>
            <w:vAlign w:val="center"/>
          </w:tcPr>
          <w:p w14:paraId="24BB7D2A">
            <w:pPr>
              <w:spacing w:line="440" w:lineRule="exact"/>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雨水箅破损</w:t>
            </w:r>
          </w:p>
        </w:tc>
        <w:tc>
          <w:tcPr>
            <w:tcW w:w="3257" w:type="dxa"/>
            <w:tcBorders>
              <w:top w:val="single" w:color="auto" w:sz="4" w:space="0"/>
              <w:left w:val="single" w:color="auto" w:sz="4" w:space="0"/>
              <w:bottom w:val="single" w:color="auto" w:sz="4" w:space="0"/>
              <w:right w:val="single" w:color="auto" w:sz="4" w:space="0"/>
            </w:tcBorders>
            <w:noWrap w:val="0"/>
            <w:vAlign w:val="center"/>
          </w:tcPr>
          <w:p w14:paraId="0C9C85A2">
            <w:pPr>
              <w:spacing w:line="440" w:lineRule="exact"/>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裂缝或渗漏</w:t>
            </w:r>
          </w:p>
        </w:tc>
      </w:tr>
      <w:tr w14:paraId="0CF27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880" w:type="dxa"/>
            <w:vMerge w:val="continue"/>
            <w:tcBorders>
              <w:top w:val="single" w:color="auto" w:sz="4" w:space="0"/>
              <w:left w:val="single" w:color="auto" w:sz="4" w:space="0"/>
              <w:bottom w:val="single" w:color="auto" w:sz="4" w:space="0"/>
              <w:right w:val="single" w:color="auto" w:sz="4" w:space="0"/>
            </w:tcBorders>
            <w:noWrap w:val="0"/>
            <w:vAlign w:val="center"/>
          </w:tcPr>
          <w:p w14:paraId="145B47E4">
            <w:pPr>
              <w:spacing w:line="440" w:lineRule="exact"/>
              <w:ind w:firstLine="480" w:firstLineChars="200"/>
              <w:rPr>
                <w:rFonts w:hint="eastAsia" w:ascii="宋体" w:hAnsi="宋体" w:eastAsia="宋体" w:cs="宋体"/>
                <w:color w:val="auto"/>
                <w:sz w:val="24"/>
                <w:szCs w:val="24"/>
                <w:highlight w:val="none"/>
              </w:rPr>
            </w:pPr>
          </w:p>
        </w:tc>
        <w:tc>
          <w:tcPr>
            <w:tcW w:w="3125" w:type="dxa"/>
            <w:tcBorders>
              <w:top w:val="single" w:color="auto" w:sz="4" w:space="0"/>
              <w:left w:val="single" w:color="auto" w:sz="4" w:space="0"/>
              <w:bottom w:val="single" w:color="auto" w:sz="4" w:space="0"/>
              <w:right w:val="single" w:color="auto" w:sz="4" w:space="0"/>
            </w:tcBorders>
            <w:noWrap w:val="0"/>
            <w:vAlign w:val="center"/>
          </w:tcPr>
          <w:p w14:paraId="60398DD7">
            <w:pPr>
              <w:spacing w:line="440" w:lineRule="exact"/>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雨水口框破损</w:t>
            </w:r>
          </w:p>
        </w:tc>
        <w:tc>
          <w:tcPr>
            <w:tcW w:w="3257" w:type="dxa"/>
            <w:tcBorders>
              <w:top w:val="single" w:color="auto" w:sz="4" w:space="0"/>
              <w:left w:val="single" w:color="auto" w:sz="4" w:space="0"/>
              <w:bottom w:val="single" w:color="auto" w:sz="4" w:space="0"/>
              <w:right w:val="single" w:color="auto" w:sz="4" w:space="0"/>
            </w:tcBorders>
            <w:noWrap w:val="0"/>
            <w:vAlign w:val="center"/>
          </w:tcPr>
          <w:p w14:paraId="7B364406">
            <w:pPr>
              <w:spacing w:line="440" w:lineRule="exact"/>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抹面剥落</w:t>
            </w:r>
          </w:p>
        </w:tc>
      </w:tr>
      <w:tr w14:paraId="68BB6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880" w:type="dxa"/>
            <w:vMerge w:val="continue"/>
            <w:tcBorders>
              <w:top w:val="single" w:color="auto" w:sz="4" w:space="0"/>
              <w:left w:val="single" w:color="auto" w:sz="4" w:space="0"/>
              <w:bottom w:val="single" w:color="auto" w:sz="4" w:space="0"/>
              <w:right w:val="single" w:color="auto" w:sz="4" w:space="0"/>
            </w:tcBorders>
            <w:noWrap w:val="0"/>
            <w:vAlign w:val="center"/>
          </w:tcPr>
          <w:p w14:paraId="32F69EB4">
            <w:pPr>
              <w:spacing w:line="440" w:lineRule="exact"/>
              <w:ind w:firstLine="480" w:firstLineChars="200"/>
              <w:rPr>
                <w:rFonts w:hint="eastAsia" w:ascii="宋体" w:hAnsi="宋体" w:eastAsia="宋体" w:cs="宋体"/>
                <w:color w:val="auto"/>
                <w:sz w:val="24"/>
                <w:szCs w:val="24"/>
                <w:highlight w:val="none"/>
              </w:rPr>
            </w:pPr>
          </w:p>
        </w:tc>
        <w:tc>
          <w:tcPr>
            <w:tcW w:w="3125" w:type="dxa"/>
            <w:tcBorders>
              <w:top w:val="single" w:color="auto" w:sz="4" w:space="0"/>
              <w:left w:val="single" w:color="auto" w:sz="4" w:space="0"/>
              <w:bottom w:val="single" w:color="auto" w:sz="4" w:space="0"/>
              <w:right w:val="single" w:color="auto" w:sz="4" w:space="0"/>
            </w:tcBorders>
            <w:noWrap w:val="0"/>
            <w:vAlign w:val="center"/>
          </w:tcPr>
          <w:p w14:paraId="4842544B">
            <w:pPr>
              <w:spacing w:line="440" w:lineRule="exact"/>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盖、框间隙</w:t>
            </w:r>
          </w:p>
        </w:tc>
        <w:tc>
          <w:tcPr>
            <w:tcW w:w="3257" w:type="dxa"/>
            <w:tcBorders>
              <w:top w:val="single" w:color="auto" w:sz="4" w:space="0"/>
              <w:left w:val="single" w:color="auto" w:sz="4" w:space="0"/>
              <w:bottom w:val="single" w:color="auto" w:sz="4" w:space="0"/>
              <w:right w:val="single" w:color="auto" w:sz="4" w:space="0"/>
            </w:tcBorders>
            <w:noWrap w:val="0"/>
            <w:vAlign w:val="center"/>
          </w:tcPr>
          <w:p w14:paraId="4CFC2250">
            <w:pPr>
              <w:spacing w:line="440" w:lineRule="exact"/>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积泥或杂物</w:t>
            </w:r>
          </w:p>
        </w:tc>
      </w:tr>
      <w:tr w14:paraId="62D34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880" w:type="dxa"/>
            <w:vMerge w:val="continue"/>
            <w:tcBorders>
              <w:top w:val="single" w:color="auto" w:sz="4" w:space="0"/>
              <w:left w:val="single" w:color="auto" w:sz="4" w:space="0"/>
              <w:bottom w:val="single" w:color="auto" w:sz="4" w:space="0"/>
              <w:right w:val="single" w:color="auto" w:sz="4" w:space="0"/>
            </w:tcBorders>
            <w:noWrap w:val="0"/>
            <w:vAlign w:val="center"/>
          </w:tcPr>
          <w:p w14:paraId="7BBC53FF">
            <w:pPr>
              <w:spacing w:line="440" w:lineRule="exact"/>
              <w:ind w:firstLine="480" w:firstLineChars="200"/>
              <w:rPr>
                <w:rFonts w:hint="eastAsia" w:ascii="宋体" w:hAnsi="宋体" w:eastAsia="宋体" w:cs="宋体"/>
                <w:color w:val="auto"/>
                <w:sz w:val="24"/>
                <w:szCs w:val="24"/>
                <w:highlight w:val="none"/>
              </w:rPr>
            </w:pPr>
          </w:p>
        </w:tc>
        <w:tc>
          <w:tcPr>
            <w:tcW w:w="3125" w:type="dxa"/>
            <w:tcBorders>
              <w:top w:val="single" w:color="auto" w:sz="4" w:space="0"/>
              <w:left w:val="single" w:color="auto" w:sz="4" w:space="0"/>
              <w:bottom w:val="single" w:color="auto" w:sz="4" w:space="0"/>
              <w:right w:val="single" w:color="auto" w:sz="4" w:space="0"/>
            </w:tcBorders>
            <w:noWrap w:val="0"/>
            <w:vAlign w:val="center"/>
          </w:tcPr>
          <w:p w14:paraId="5E8C4D43">
            <w:pPr>
              <w:spacing w:line="440" w:lineRule="exact"/>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盖、框高差</w:t>
            </w:r>
          </w:p>
        </w:tc>
        <w:tc>
          <w:tcPr>
            <w:tcW w:w="3257" w:type="dxa"/>
            <w:tcBorders>
              <w:top w:val="single" w:color="auto" w:sz="4" w:space="0"/>
              <w:left w:val="single" w:color="auto" w:sz="4" w:space="0"/>
              <w:bottom w:val="single" w:color="auto" w:sz="4" w:space="0"/>
              <w:right w:val="single" w:color="auto" w:sz="4" w:space="0"/>
            </w:tcBorders>
            <w:noWrap w:val="0"/>
            <w:vAlign w:val="center"/>
          </w:tcPr>
          <w:p w14:paraId="1686C06E">
            <w:pPr>
              <w:spacing w:line="440" w:lineRule="exact"/>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水流受阻</w:t>
            </w:r>
          </w:p>
        </w:tc>
      </w:tr>
      <w:tr w14:paraId="4547B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880" w:type="dxa"/>
            <w:vMerge w:val="continue"/>
            <w:tcBorders>
              <w:top w:val="single" w:color="auto" w:sz="4" w:space="0"/>
              <w:left w:val="single" w:color="auto" w:sz="4" w:space="0"/>
              <w:bottom w:val="single" w:color="auto" w:sz="4" w:space="0"/>
              <w:right w:val="single" w:color="auto" w:sz="4" w:space="0"/>
            </w:tcBorders>
            <w:noWrap w:val="0"/>
            <w:vAlign w:val="center"/>
          </w:tcPr>
          <w:p w14:paraId="66973FAB">
            <w:pPr>
              <w:spacing w:line="440" w:lineRule="exact"/>
              <w:ind w:firstLine="480" w:firstLineChars="200"/>
              <w:rPr>
                <w:rFonts w:hint="eastAsia" w:ascii="宋体" w:hAnsi="宋体" w:eastAsia="宋体" w:cs="宋体"/>
                <w:color w:val="auto"/>
                <w:sz w:val="24"/>
                <w:szCs w:val="24"/>
                <w:highlight w:val="none"/>
              </w:rPr>
            </w:pPr>
          </w:p>
        </w:tc>
        <w:tc>
          <w:tcPr>
            <w:tcW w:w="3125" w:type="dxa"/>
            <w:tcBorders>
              <w:top w:val="single" w:color="auto" w:sz="4" w:space="0"/>
              <w:left w:val="single" w:color="auto" w:sz="4" w:space="0"/>
              <w:bottom w:val="single" w:color="auto" w:sz="4" w:space="0"/>
              <w:right w:val="single" w:color="auto" w:sz="4" w:space="0"/>
            </w:tcBorders>
            <w:noWrap w:val="0"/>
            <w:vAlign w:val="center"/>
          </w:tcPr>
          <w:p w14:paraId="3348DF3C">
            <w:pPr>
              <w:spacing w:line="440" w:lineRule="exact"/>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孔眼堵塞</w:t>
            </w:r>
          </w:p>
        </w:tc>
        <w:tc>
          <w:tcPr>
            <w:tcW w:w="3257" w:type="dxa"/>
            <w:tcBorders>
              <w:top w:val="single" w:color="auto" w:sz="4" w:space="0"/>
              <w:left w:val="single" w:color="auto" w:sz="4" w:space="0"/>
              <w:bottom w:val="single" w:color="auto" w:sz="4" w:space="0"/>
              <w:right w:val="single" w:color="auto" w:sz="4" w:space="0"/>
            </w:tcBorders>
            <w:noWrap w:val="0"/>
            <w:vAlign w:val="center"/>
          </w:tcPr>
          <w:p w14:paraId="038D2B43">
            <w:pPr>
              <w:spacing w:line="440" w:lineRule="exact"/>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私接连管</w:t>
            </w:r>
          </w:p>
        </w:tc>
      </w:tr>
      <w:tr w14:paraId="1AA95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880" w:type="dxa"/>
            <w:vMerge w:val="continue"/>
            <w:tcBorders>
              <w:top w:val="single" w:color="auto" w:sz="4" w:space="0"/>
              <w:left w:val="single" w:color="auto" w:sz="4" w:space="0"/>
              <w:bottom w:val="single" w:color="auto" w:sz="4" w:space="0"/>
              <w:right w:val="single" w:color="auto" w:sz="4" w:space="0"/>
            </w:tcBorders>
            <w:noWrap w:val="0"/>
            <w:vAlign w:val="center"/>
          </w:tcPr>
          <w:p w14:paraId="790D2E05">
            <w:pPr>
              <w:spacing w:line="440" w:lineRule="exact"/>
              <w:ind w:firstLine="480" w:firstLineChars="200"/>
              <w:rPr>
                <w:rFonts w:hint="eastAsia" w:ascii="宋体" w:hAnsi="宋体" w:eastAsia="宋体" w:cs="宋体"/>
                <w:color w:val="auto"/>
                <w:sz w:val="24"/>
                <w:szCs w:val="24"/>
                <w:highlight w:val="none"/>
              </w:rPr>
            </w:pPr>
          </w:p>
        </w:tc>
        <w:tc>
          <w:tcPr>
            <w:tcW w:w="3125" w:type="dxa"/>
            <w:tcBorders>
              <w:top w:val="single" w:color="auto" w:sz="4" w:space="0"/>
              <w:left w:val="single" w:color="auto" w:sz="4" w:space="0"/>
              <w:bottom w:val="single" w:color="auto" w:sz="4" w:space="0"/>
              <w:right w:val="single" w:color="auto" w:sz="4" w:space="0"/>
            </w:tcBorders>
            <w:noWrap w:val="0"/>
            <w:vAlign w:val="center"/>
          </w:tcPr>
          <w:p w14:paraId="347D320B">
            <w:pPr>
              <w:spacing w:line="440" w:lineRule="exact"/>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雨水口框突出</w:t>
            </w:r>
          </w:p>
        </w:tc>
        <w:tc>
          <w:tcPr>
            <w:tcW w:w="3257" w:type="dxa"/>
            <w:tcBorders>
              <w:top w:val="single" w:color="auto" w:sz="4" w:space="0"/>
              <w:left w:val="single" w:color="auto" w:sz="4" w:space="0"/>
              <w:bottom w:val="single" w:color="auto" w:sz="4" w:space="0"/>
              <w:right w:val="single" w:color="auto" w:sz="4" w:space="0"/>
            </w:tcBorders>
            <w:noWrap w:val="0"/>
            <w:vAlign w:val="center"/>
          </w:tcPr>
          <w:p w14:paraId="42DA0889">
            <w:pPr>
              <w:spacing w:line="440" w:lineRule="exact"/>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井体倾斜</w:t>
            </w:r>
          </w:p>
        </w:tc>
      </w:tr>
      <w:tr w14:paraId="169B4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880" w:type="dxa"/>
            <w:vMerge w:val="continue"/>
            <w:tcBorders>
              <w:top w:val="single" w:color="auto" w:sz="4" w:space="0"/>
              <w:left w:val="single" w:color="auto" w:sz="4" w:space="0"/>
              <w:bottom w:val="single" w:color="auto" w:sz="4" w:space="0"/>
              <w:right w:val="single" w:color="auto" w:sz="4" w:space="0"/>
            </w:tcBorders>
            <w:noWrap w:val="0"/>
            <w:vAlign w:val="center"/>
          </w:tcPr>
          <w:p w14:paraId="03DB1BA1">
            <w:pPr>
              <w:spacing w:line="440" w:lineRule="exact"/>
              <w:ind w:firstLine="480" w:firstLineChars="200"/>
              <w:rPr>
                <w:rFonts w:hint="eastAsia" w:ascii="宋体" w:hAnsi="宋体" w:eastAsia="宋体" w:cs="宋体"/>
                <w:color w:val="auto"/>
                <w:sz w:val="24"/>
                <w:szCs w:val="24"/>
                <w:highlight w:val="none"/>
              </w:rPr>
            </w:pPr>
          </w:p>
        </w:tc>
        <w:tc>
          <w:tcPr>
            <w:tcW w:w="3125" w:type="dxa"/>
            <w:tcBorders>
              <w:top w:val="single" w:color="auto" w:sz="4" w:space="0"/>
              <w:left w:val="single" w:color="auto" w:sz="4" w:space="0"/>
              <w:bottom w:val="single" w:color="auto" w:sz="4" w:space="0"/>
              <w:right w:val="single" w:color="auto" w:sz="4" w:space="0"/>
            </w:tcBorders>
            <w:noWrap w:val="0"/>
            <w:vAlign w:val="center"/>
          </w:tcPr>
          <w:p w14:paraId="772D6B8C">
            <w:pPr>
              <w:spacing w:line="440" w:lineRule="exact"/>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异臭</w:t>
            </w:r>
          </w:p>
        </w:tc>
        <w:tc>
          <w:tcPr>
            <w:tcW w:w="3257" w:type="dxa"/>
            <w:tcBorders>
              <w:top w:val="single" w:color="auto" w:sz="4" w:space="0"/>
              <w:left w:val="single" w:color="auto" w:sz="4" w:space="0"/>
              <w:bottom w:val="single" w:color="auto" w:sz="4" w:space="0"/>
              <w:right w:val="single" w:color="auto" w:sz="4" w:space="0"/>
            </w:tcBorders>
            <w:noWrap w:val="0"/>
            <w:vAlign w:val="center"/>
          </w:tcPr>
          <w:p w14:paraId="23B0ADC6">
            <w:pPr>
              <w:spacing w:line="440" w:lineRule="exact"/>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连管异常</w:t>
            </w:r>
          </w:p>
        </w:tc>
      </w:tr>
      <w:tr w14:paraId="39450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880" w:type="dxa"/>
            <w:vMerge w:val="continue"/>
            <w:tcBorders>
              <w:top w:val="single" w:color="auto" w:sz="4" w:space="0"/>
              <w:left w:val="single" w:color="auto" w:sz="4" w:space="0"/>
              <w:bottom w:val="single" w:color="auto" w:sz="4" w:space="0"/>
              <w:right w:val="single" w:color="auto" w:sz="4" w:space="0"/>
            </w:tcBorders>
            <w:noWrap w:val="0"/>
            <w:vAlign w:val="center"/>
          </w:tcPr>
          <w:p w14:paraId="69CC37E3">
            <w:pPr>
              <w:spacing w:line="440" w:lineRule="exact"/>
              <w:ind w:firstLine="480" w:firstLineChars="200"/>
              <w:rPr>
                <w:rFonts w:hint="eastAsia" w:ascii="宋体" w:hAnsi="宋体" w:eastAsia="宋体" w:cs="宋体"/>
                <w:color w:val="auto"/>
                <w:sz w:val="24"/>
                <w:szCs w:val="24"/>
                <w:highlight w:val="none"/>
              </w:rPr>
            </w:pPr>
          </w:p>
        </w:tc>
        <w:tc>
          <w:tcPr>
            <w:tcW w:w="3125" w:type="dxa"/>
            <w:tcBorders>
              <w:top w:val="single" w:color="auto" w:sz="4" w:space="0"/>
              <w:left w:val="single" w:color="auto" w:sz="4" w:space="0"/>
              <w:bottom w:val="single" w:color="auto" w:sz="4" w:space="0"/>
              <w:right w:val="single" w:color="auto" w:sz="4" w:space="0"/>
            </w:tcBorders>
            <w:noWrap w:val="0"/>
            <w:vAlign w:val="center"/>
          </w:tcPr>
          <w:p w14:paraId="0AA8767A">
            <w:pPr>
              <w:spacing w:line="440" w:lineRule="exact"/>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其它</w:t>
            </w:r>
          </w:p>
        </w:tc>
        <w:tc>
          <w:tcPr>
            <w:tcW w:w="3257" w:type="dxa"/>
            <w:tcBorders>
              <w:top w:val="single" w:color="auto" w:sz="4" w:space="0"/>
              <w:left w:val="single" w:color="auto" w:sz="4" w:space="0"/>
              <w:bottom w:val="single" w:color="auto" w:sz="4" w:space="0"/>
              <w:right w:val="single" w:color="auto" w:sz="4" w:space="0"/>
            </w:tcBorders>
            <w:noWrap w:val="0"/>
            <w:vAlign w:val="center"/>
          </w:tcPr>
          <w:p w14:paraId="77F33A92">
            <w:pPr>
              <w:spacing w:line="440" w:lineRule="exact"/>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蚊蝇</w:t>
            </w:r>
          </w:p>
        </w:tc>
      </w:tr>
    </w:tbl>
    <w:p w14:paraId="483CF5D6">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2.1.5、投诉及举报情况：如发生投诉及举报情况，在得到</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指示或通知后，应在2小时内赶到投诉现场进行处理；</w:t>
      </w:r>
    </w:p>
    <w:p w14:paraId="4E758953">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2.2、疏通要求：</w:t>
      </w:r>
    </w:p>
    <w:p w14:paraId="7A7ECBF2">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2.2.1、管网和窨井疏通服务响应要求：</w:t>
      </w:r>
    </w:p>
    <w:p w14:paraId="5DA00415">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（1）投标人在</w:t>
      </w:r>
      <w:r>
        <w:rPr>
          <w:rFonts w:hint="eastAsia" w:ascii="宋体" w:hAnsi="宋体" w:cs="宋体"/>
          <w:color w:val="auto"/>
          <w:sz w:val="24"/>
          <w:szCs w:val="24"/>
          <w:highlight w:val="none"/>
          <w:lang w:val="en-US" w:eastAsia="zh-CN"/>
        </w:rPr>
        <w:t>巡视</w:t>
      </w:r>
      <w:r>
        <w:rPr>
          <w:rFonts w:hint="eastAsia" w:ascii="宋体" w:hAnsi="宋体" w:eastAsia="宋体" w:cs="宋体"/>
          <w:color w:val="auto"/>
          <w:sz w:val="24"/>
          <w:szCs w:val="24"/>
          <w:highlight w:val="none"/>
        </w:rPr>
        <w:t>中发现问题，先上报给</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，在得到</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指示或通知后，应在半小时内赶到故障现场进行疏通服务，轻微情节的修理应立即排除；一般情节的故障修理须2小时内排除；重大情节的故障修理须12小时内排除；特殊情节须全力配合。</w:t>
      </w:r>
    </w:p>
    <w:tbl>
      <w:tblPr>
        <w:tblStyle w:val="54"/>
        <w:tblW w:w="5001"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3"/>
        <w:gridCol w:w="3025"/>
        <w:gridCol w:w="1463"/>
        <w:gridCol w:w="1421"/>
        <w:gridCol w:w="2906"/>
      </w:tblGrid>
      <w:tr w14:paraId="707E9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8" w:type="pct"/>
            <w:noWrap w:val="0"/>
            <w:vAlign w:val="center"/>
          </w:tcPr>
          <w:p w14:paraId="56BBBDAE">
            <w:pPr>
              <w:spacing w:line="440" w:lineRule="exact"/>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530" w:type="pct"/>
            <w:noWrap w:val="0"/>
            <w:vAlign w:val="center"/>
          </w:tcPr>
          <w:p w14:paraId="6325612C">
            <w:pPr>
              <w:spacing w:line="440" w:lineRule="exact"/>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故障情况</w:t>
            </w:r>
          </w:p>
        </w:tc>
        <w:tc>
          <w:tcPr>
            <w:tcW w:w="740" w:type="pct"/>
            <w:noWrap w:val="0"/>
            <w:vAlign w:val="center"/>
          </w:tcPr>
          <w:p w14:paraId="15D46B71">
            <w:pPr>
              <w:spacing w:line="440" w:lineRule="exact"/>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响应时间</w:t>
            </w:r>
          </w:p>
        </w:tc>
        <w:tc>
          <w:tcPr>
            <w:tcW w:w="719" w:type="pct"/>
            <w:noWrap w:val="0"/>
            <w:vAlign w:val="center"/>
          </w:tcPr>
          <w:p w14:paraId="4985F25C">
            <w:pPr>
              <w:spacing w:line="440" w:lineRule="exact"/>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到场时间</w:t>
            </w:r>
          </w:p>
        </w:tc>
        <w:tc>
          <w:tcPr>
            <w:tcW w:w="1470" w:type="pct"/>
            <w:noWrap w:val="0"/>
            <w:vAlign w:val="center"/>
          </w:tcPr>
          <w:p w14:paraId="472DD4BC">
            <w:pPr>
              <w:spacing w:line="440" w:lineRule="exact"/>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解决问题时间</w:t>
            </w:r>
          </w:p>
        </w:tc>
      </w:tr>
      <w:tr w14:paraId="5B9AD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8" w:type="pct"/>
            <w:noWrap w:val="0"/>
            <w:vAlign w:val="center"/>
          </w:tcPr>
          <w:p w14:paraId="6C3B84FB">
            <w:pPr>
              <w:spacing w:line="440" w:lineRule="exact"/>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530" w:type="pct"/>
            <w:noWrap w:val="0"/>
            <w:vAlign w:val="center"/>
          </w:tcPr>
          <w:p w14:paraId="40545F22">
            <w:pPr>
              <w:spacing w:line="440" w:lineRule="exact"/>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轻微情节</w:t>
            </w:r>
          </w:p>
        </w:tc>
        <w:tc>
          <w:tcPr>
            <w:tcW w:w="740" w:type="pct"/>
            <w:noWrap w:val="0"/>
            <w:vAlign w:val="center"/>
          </w:tcPr>
          <w:p w14:paraId="3BD9C9CE">
            <w:pPr>
              <w:spacing w:line="440" w:lineRule="exact"/>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10分钟</w:t>
            </w:r>
          </w:p>
        </w:tc>
        <w:tc>
          <w:tcPr>
            <w:tcW w:w="719" w:type="pct"/>
            <w:noWrap w:val="0"/>
            <w:vAlign w:val="center"/>
          </w:tcPr>
          <w:p w14:paraId="5B1F86FA">
            <w:pPr>
              <w:spacing w:line="440" w:lineRule="exact"/>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30分钟</w:t>
            </w:r>
          </w:p>
        </w:tc>
        <w:tc>
          <w:tcPr>
            <w:tcW w:w="1470" w:type="pct"/>
            <w:noWrap w:val="0"/>
            <w:vAlign w:val="center"/>
          </w:tcPr>
          <w:p w14:paraId="4293DF70">
            <w:pPr>
              <w:spacing w:line="440" w:lineRule="exact"/>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立即排除</w:t>
            </w:r>
          </w:p>
        </w:tc>
      </w:tr>
      <w:tr w14:paraId="2FFDE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8" w:type="pct"/>
            <w:noWrap w:val="0"/>
            <w:vAlign w:val="center"/>
          </w:tcPr>
          <w:p w14:paraId="27AA889A">
            <w:pPr>
              <w:spacing w:line="440" w:lineRule="exact"/>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530" w:type="pct"/>
            <w:noWrap w:val="0"/>
            <w:vAlign w:val="center"/>
          </w:tcPr>
          <w:p w14:paraId="7AFB4DD0">
            <w:pPr>
              <w:spacing w:line="440" w:lineRule="exact"/>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一般情节</w:t>
            </w:r>
          </w:p>
        </w:tc>
        <w:tc>
          <w:tcPr>
            <w:tcW w:w="740" w:type="pct"/>
            <w:noWrap w:val="0"/>
            <w:vAlign w:val="center"/>
          </w:tcPr>
          <w:p w14:paraId="129AB39F">
            <w:pPr>
              <w:spacing w:line="440" w:lineRule="exact"/>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10分钟</w:t>
            </w:r>
          </w:p>
        </w:tc>
        <w:tc>
          <w:tcPr>
            <w:tcW w:w="719" w:type="pct"/>
            <w:noWrap w:val="0"/>
            <w:vAlign w:val="center"/>
          </w:tcPr>
          <w:p w14:paraId="5F744E1A">
            <w:pPr>
              <w:spacing w:line="440" w:lineRule="exact"/>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30分钟</w:t>
            </w:r>
          </w:p>
        </w:tc>
        <w:tc>
          <w:tcPr>
            <w:tcW w:w="1470" w:type="pct"/>
            <w:noWrap w:val="0"/>
            <w:vAlign w:val="center"/>
          </w:tcPr>
          <w:p w14:paraId="02ADF709">
            <w:pPr>
              <w:spacing w:line="440" w:lineRule="exact"/>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2小时</w:t>
            </w:r>
          </w:p>
        </w:tc>
      </w:tr>
      <w:tr w14:paraId="08082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8" w:type="pct"/>
            <w:noWrap w:val="0"/>
            <w:vAlign w:val="center"/>
          </w:tcPr>
          <w:p w14:paraId="6DB00BC4">
            <w:pPr>
              <w:spacing w:line="440" w:lineRule="exact"/>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530" w:type="pct"/>
            <w:noWrap w:val="0"/>
            <w:vAlign w:val="center"/>
          </w:tcPr>
          <w:p w14:paraId="78049503">
            <w:pPr>
              <w:spacing w:line="440" w:lineRule="exact"/>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重大情节</w:t>
            </w:r>
          </w:p>
        </w:tc>
        <w:tc>
          <w:tcPr>
            <w:tcW w:w="740" w:type="pct"/>
            <w:noWrap w:val="0"/>
            <w:vAlign w:val="center"/>
          </w:tcPr>
          <w:p w14:paraId="03949D80">
            <w:pPr>
              <w:spacing w:line="440" w:lineRule="exact"/>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10分钟</w:t>
            </w:r>
          </w:p>
        </w:tc>
        <w:tc>
          <w:tcPr>
            <w:tcW w:w="719" w:type="pct"/>
            <w:noWrap w:val="0"/>
            <w:vAlign w:val="center"/>
          </w:tcPr>
          <w:p w14:paraId="1EF526BC">
            <w:pPr>
              <w:spacing w:line="440" w:lineRule="exact"/>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30分钟</w:t>
            </w:r>
          </w:p>
        </w:tc>
        <w:tc>
          <w:tcPr>
            <w:tcW w:w="1470" w:type="pct"/>
            <w:noWrap w:val="0"/>
            <w:vAlign w:val="center"/>
          </w:tcPr>
          <w:p w14:paraId="403B8AA8">
            <w:pPr>
              <w:spacing w:line="440" w:lineRule="exact"/>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12小时</w:t>
            </w:r>
          </w:p>
        </w:tc>
      </w:tr>
    </w:tbl>
    <w:p w14:paraId="06D784C8">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注：轻微情节：正确的操作可预防发生故障。</w:t>
      </w:r>
    </w:p>
    <w:p w14:paraId="69159659">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一般情节：管网通水不畅。</w:t>
      </w:r>
    </w:p>
    <w:p w14:paraId="3B8E687F">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重大情节：管网堵塞不能正常工作。</w:t>
      </w:r>
    </w:p>
    <w:p w14:paraId="71BCDE48">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特殊情节：管网损坏等突发事件。</w:t>
      </w:r>
    </w:p>
    <w:p w14:paraId="4DAEA082">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2.2.2、区域内管网设施的疏通以及清淤工作，应确保排水畅通。</w:t>
      </w:r>
    </w:p>
    <w:p w14:paraId="0543906B">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2.2.3、污泥运输与处置</w:t>
      </w:r>
    </w:p>
    <w:p w14:paraId="38A08E9F">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（1）通沟污泥必须采用污泥运输车运输。</w:t>
      </w:r>
    </w:p>
    <w:p w14:paraId="0D75592B">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（2）污泥处置须合法合规，不得污染或影响环境。</w:t>
      </w:r>
    </w:p>
    <w:p w14:paraId="14BF27FF">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（3）污泥运输车辆应加盖，并应定期清洗保持整洁。</w:t>
      </w:r>
    </w:p>
    <w:p w14:paraId="3B8FC506">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（4）在送处置场前，污泥应进行脱水处理。</w:t>
      </w:r>
    </w:p>
    <w:p w14:paraId="09CBEE7B">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（5）污泥盛器和车辆在街道上停放时，应设置安全标志，夜间应悬挂警示灯。疏通作业完毕后，应及时撤离现场。</w:t>
      </w:r>
    </w:p>
    <w:p w14:paraId="3F5A9EC7">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（6）外运距离投标人自行考虑。</w:t>
      </w:r>
    </w:p>
    <w:p w14:paraId="38F7F871">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2.2.4、清理要求</w:t>
      </w:r>
    </w:p>
    <w:p w14:paraId="5F3AE9D6">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作业过程中做好围挡以及安全交通标识牌，现场作业完毕后，</w:t>
      </w:r>
      <w:r>
        <w:rPr>
          <w:rFonts w:hint="eastAsia" w:ascii="宋体" w:hAnsi="宋体" w:eastAsia="宋体" w:cs="宋体"/>
          <w:color w:val="auto"/>
          <w:sz w:val="24"/>
          <w:szCs w:val="24"/>
          <w:highlight w:val="none"/>
          <w:lang w:eastAsia="zh-CN"/>
        </w:rPr>
        <w:t>中标人</w:t>
      </w:r>
      <w:r>
        <w:rPr>
          <w:rFonts w:hint="eastAsia" w:ascii="宋体" w:hAnsi="宋体" w:eastAsia="宋体" w:cs="宋体"/>
          <w:color w:val="auto"/>
          <w:sz w:val="24"/>
          <w:szCs w:val="24"/>
          <w:highlight w:val="none"/>
        </w:rPr>
        <w:t>负责及时清理垃圾，保证现场清洁、不影响环境。</w:t>
      </w:r>
    </w:p>
    <w:p w14:paraId="15A62B4D">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2.3、零星维修要求</w:t>
      </w:r>
    </w:p>
    <w:p w14:paraId="25781233">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2.3.1、</w:t>
      </w:r>
      <w:r>
        <w:rPr>
          <w:rFonts w:hint="eastAsia" w:ascii="宋体" w:hAnsi="宋体" w:eastAsia="宋体" w:cs="宋体"/>
          <w:color w:val="auto"/>
          <w:sz w:val="24"/>
          <w:szCs w:val="24"/>
          <w:highlight w:val="none"/>
          <w:lang w:eastAsia="zh-CN"/>
        </w:rPr>
        <w:t>中标人</w:t>
      </w:r>
      <w:r>
        <w:rPr>
          <w:rFonts w:hint="eastAsia" w:ascii="宋体" w:hAnsi="宋体" w:eastAsia="宋体" w:cs="宋体"/>
          <w:color w:val="auto"/>
          <w:sz w:val="24"/>
          <w:szCs w:val="24"/>
          <w:highlight w:val="none"/>
        </w:rPr>
        <w:t>必须加强管理，遵守作业现场的一切规章制度，文明施工，注意安全，一切事故由</w:t>
      </w:r>
      <w:r>
        <w:rPr>
          <w:rFonts w:hint="eastAsia" w:ascii="宋体" w:hAnsi="宋体" w:eastAsia="宋体" w:cs="宋体"/>
          <w:color w:val="auto"/>
          <w:sz w:val="24"/>
          <w:szCs w:val="24"/>
          <w:highlight w:val="none"/>
          <w:lang w:eastAsia="zh-CN"/>
        </w:rPr>
        <w:t>中标人</w:t>
      </w:r>
      <w:r>
        <w:rPr>
          <w:rFonts w:hint="eastAsia" w:ascii="宋体" w:hAnsi="宋体" w:eastAsia="宋体" w:cs="宋体"/>
          <w:color w:val="auto"/>
          <w:sz w:val="24"/>
          <w:szCs w:val="24"/>
          <w:highlight w:val="none"/>
        </w:rPr>
        <w:t>负全责；</w:t>
      </w:r>
    </w:p>
    <w:p w14:paraId="40637487">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2.3.2、维修人员、施工机械或在运输装卸途中对其他设备及邻近管线等造成损坏，应由</w:t>
      </w:r>
      <w:r>
        <w:rPr>
          <w:rFonts w:hint="eastAsia" w:ascii="宋体" w:hAnsi="宋体" w:eastAsia="宋体" w:cs="宋体"/>
          <w:color w:val="auto"/>
          <w:sz w:val="24"/>
          <w:szCs w:val="24"/>
          <w:highlight w:val="none"/>
          <w:lang w:eastAsia="zh-CN"/>
        </w:rPr>
        <w:t>中标人</w:t>
      </w:r>
      <w:r>
        <w:rPr>
          <w:rFonts w:hint="eastAsia" w:ascii="宋体" w:hAnsi="宋体" w:eastAsia="宋体" w:cs="宋体"/>
          <w:color w:val="auto"/>
          <w:sz w:val="24"/>
          <w:szCs w:val="24"/>
          <w:highlight w:val="none"/>
        </w:rPr>
        <w:t>负责修复及承担一切费用；</w:t>
      </w:r>
    </w:p>
    <w:p w14:paraId="1361E3EC">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2.3.3、无论维修期间过程中，</w:t>
      </w:r>
      <w:r>
        <w:rPr>
          <w:rFonts w:hint="eastAsia" w:ascii="宋体" w:hAnsi="宋体" w:eastAsia="宋体" w:cs="宋体"/>
          <w:color w:val="auto"/>
          <w:sz w:val="24"/>
          <w:szCs w:val="24"/>
          <w:highlight w:val="none"/>
          <w:lang w:eastAsia="zh-CN"/>
        </w:rPr>
        <w:t>中标人</w:t>
      </w:r>
      <w:r>
        <w:rPr>
          <w:rFonts w:hint="eastAsia" w:ascii="宋体" w:hAnsi="宋体" w:eastAsia="宋体" w:cs="宋体"/>
          <w:color w:val="auto"/>
          <w:sz w:val="24"/>
          <w:szCs w:val="24"/>
          <w:highlight w:val="none"/>
        </w:rPr>
        <w:t>负责及时清理垃圾。</w:t>
      </w:r>
    </w:p>
    <w:p w14:paraId="33985CC8">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2.3.4、服务过程中注意保护现场已存在的公共设施，如有损坏必须由</w:t>
      </w:r>
      <w:r>
        <w:rPr>
          <w:rFonts w:hint="eastAsia" w:ascii="宋体" w:hAnsi="宋体" w:eastAsia="宋体" w:cs="宋体"/>
          <w:color w:val="auto"/>
          <w:sz w:val="24"/>
          <w:szCs w:val="24"/>
          <w:highlight w:val="none"/>
          <w:lang w:eastAsia="zh-CN"/>
        </w:rPr>
        <w:t>中标人</w:t>
      </w:r>
      <w:r>
        <w:rPr>
          <w:rFonts w:hint="eastAsia" w:ascii="宋体" w:hAnsi="宋体" w:eastAsia="宋体" w:cs="宋体"/>
          <w:color w:val="auto"/>
          <w:sz w:val="24"/>
          <w:szCs w:val="24"/>
          <w:highlight w:val="none"/>
        </w:rPr>
        <w:t>负责恢复或赔偿。</w:t>
      </w:r>
    </w:p>
    <w:p w14:paraId="7800A809">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2.3.5、</w:t>
      </w:r>
      <w:r>
        <w:rPr>
          <w:rFonts w:hint="eastAsia" w:ascii="宋体" w:hAnsi="宋体" w:eastAsia="宋体" w:cs="宋体"/>
          <w:color w:val="auto"/>
          <w:sz w:val="24"/>
          <w:szCs w:val="24"/>
          <w:highlight w:val="none"/>
          <w:lang w:eastAsia="zh-CN"/>
        </w:rPr>
        <w:t>中标人</w:t>
      </w:r>
      <w:r>
        <w:rPr>
          <w:rFonts w:hint="eastAsia" w:ascii="宋体" w:hAnsi="宋体" w:eastAsia="宋体" w:cs="宋体"/>
          <w:color w:val="auto"/>
          <w:sz w:val="24"/>
          <w:szCs w:val="24"/>
          <w:highlight w:val="none"/>
        </w:rPr>
        <w:t>须为维修人员配备印有</w:t>
      </w:r>
      <w:r>
        <w:rPr>
          <w:rFonts w:hint="eastAsia" w:ascii="宋体" w:hAnsi="宋体" w:eastAsia="宋体" w:cs="宋体"/>
          <w:color w:val="auto"/>
          <w:sz w:val="24"/>
          <w:szCs w:val="24"/>
          <w:highlight w:val="none"/>
          <w:lang w:eastAsia="zh-CN"/>
        </w:rPr>
        <w:t>中标人</w:t>
      </w:r>
      <w:r>
        <w:rPr>
          <w:rFonts w:hint="eastAsia" w:ascii="宋体" w:hAnsi="宋体" w:eastAsia="宋体" w:cs="宋体"/>
          <w:color w:val="auto"/>
          <w:sz w:val="24"/>
          <w:szCs w:val="24"/>
          <w:highlight w:val="none"/>
        </w:rPr>
        <w:t>名称的现场作业安全服或反光背心，现场作业时应明示安全警示标志和作业围挡。</w:t>
      </w:r>
    </w:p>
    <w:p w14:paraId="705CBCE5">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2.3.6、维修工作实施过程中，</w:t>
      </w:r>
      <w:r>
        <w:rPr>
          <w:rFonts w:hint="eastAsia" w:ascii="宋体" w:hAnsi="宋体" w:eastAsia="宋体" w:cs="宋体"/>
          <w:color w:val="auto"/>
          <w:sz w:val="24"/>
          <w:szCs w:val="24"/>
          <w:highlight w:val="none"/>
          <w:lang w:eastAsia="zh-CN"/>
        </w:rPr>
        <w:t>中标人</w:t>
      </w:r>
      <w:r>
        <w:rPr>
          <w:rFonts w:hint="eastAsia" w:ascii="宋体" w:hAnsi="宋体" w:eastAsia="宋体" w:cs="宋体"/>
          <w:color w:val="auto"/>
          <w:sz w:val="24"/>
          <w:szCs w:val="24"/>
          <w:highlight w:val="none"/>
        </w:rPr>
        <w:t>不得将施工材料/设备与人员共用一辆车辆运输，不得违反相关道路交通法规。</w:t>
      </w:r>
    </w:p>
    <w:p w14:paraId="55CFEE50">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注：如遇突发事件，须有配套维修工程机具设备及必要工作人员在60分钟内到场应急处理，并服从</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现场指挥。</w:t>
      </w:r>
    </w:p>
    <w:p w14:paraId="46B34D5C">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2.4、井盖要求</w:t>
      </w:r>
    </w:p>
    <w:p w14:paraId="3890EE9E">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2.4.1、在车辆经过时，井盖不应出现跳动和声响。井盖与井框间的允许误差应符合表5的规定。</w:t>
      </w:r>
    </w:p>
    <w:p w14:paraId="01ACFAF9">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表5     井盖与井框间的允许误差(mm)</w:t>
      </w:r>
    </w:p>
    <w:tbl>
      <w:tblPr>
        <w:tblStyle w:val="5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7"/>
        <w:gridCol w:w="1418"/>
        <w:gridCol w:w="2410"/>
        <w:gridCol w:w="2551"/>
      </w:tblGrid>
      <w:tr w14:paraId="535FF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17" w:type="dxa"/>
            <w:tcBorders>
              <w:top w:val="single" w:color="auto" w:sz="4" w:space="0"/>
              <w:left w:val="single" w:color="auto" w:sz="4" w:space="0"/>
              <w:bottom w:val="single" w:color="auto" w:sz="4" w:space="0"/>
              <w:right w:val="single" w:color="auto" w:sz="4" w:space="0"/>
            </w:tcBorders>
            <w:noWrap w:val="0"/>
            <w:vAlign w:val="center"/>
          </w:tcPr>
          <w:p w14:paraId="3F74B2FD">
            <w:pPr>
              <w:spacing w:line="440" w:lineRule="exact"/>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设施种类</w:t>
            </w:r>
          </w:p>
        </w:tc>
        <w:tc>
          <w:tcPr>
            <w:tcW w:w="1418" w:type="dxa"/>
            <w:tcBorders>
              <w:top w:val="single" w:color="auto" w:sz="4" w:space="0"/>
              <w:left w:val="single" w:color="auto" w:sz="4" w:space="0"/>
              <w:bottom w:val="single" w:color="auto" w:sz="4" w:space="0"/>
              <w:right w:val="single" w:color="auto" w:sz="4" w:space="0"/>
            </w:tcBorders>
            <w:noWrap w:val="0"/>
            <w:vAlign w:val="center"/>
          </w:tcPr>
          <w:p w14:paraId="32FEBE5E">
            <w:pPr>
              <w:spacing w:line="440" w:lineRule="exact"/>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盖框间隙</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73D2346F">
            <w:pPr>
              <w:spacing w:line="440" w:lineRule="exact"/>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井盖与井框高差</w:t>
            </w:r>
          </w:p>
        </w:tc>
        <w:tc>
          <w:tcPr>
            <w:tcW w:w="2551" w:type="dxa"/>
            <w:tcBorders>
              <w:top w:val="single" w:color="auto" w:sz="4" w:space="0"/>
              <w:left w:val="single" w:color="auto" w:sz="4" w:space="0"/>
              <w:bottom w:val="single" w:color="auto" w:sz="4" w:space="0"/>
              <w:right w:val="single" w:color="auto" w:sz="4" w:space="0"/>
            </w:tcBorders>
            <w:noWrap w:val="0"/>
            <w:vAlign w:val="top"/>
          </w:tcPr>
          <w:p w14:paraId="73956426">
            <w:pPr>
              <w:spacing w:line="440" w:lineRule="exact"/>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井框与路面高差</w:t>
            </w:r>
          </w:p>
        </w:tc>
      </w:tr>
      <w:tr w14:paraId="42577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17" w:type="dxa"/>
            <w:tcBorders>
              <w:top w:val="single" w:color="auto" w:sz="4" w:space="0"/>
              <w:left w:val="single" w:color="auto" w:sz="4" w:space="0"/>
              <w:bottom w:val="single" w:color="auto" w:sz="4" w:space="0"/>
              <w:right w:val="single" w:color="auto" w:sz="4" w:space="0"/>
            </w:tcBorders>
            <w:noWrap w:val="0"/>
            <w:vAlign w:val="center"/>
          </w:tcPr>
          <w:p w14:paraId="0550CA4A">
            <w:pPr>
              <w:spacing w:line="440" w:lineRule="exact"/>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检查井</w:t>
            </w:r>
          </w:p>
        </w:tc>
        <w:tc>
          <w:tcPr>
            <w:tcW w:w="1418" w:type="dxa"/>
            <w:tcBorders>
              <w:top w:val="single" w:color="auto" w:sz="4" w:space="0"/>
              <w:left w:val="single" w:color="auto" w:sz="4" w:space="0"/>
              <w:bottom w:val="single" w:color="auto" w:sz="4" w:space="0"/>
              <w:right w:val="single" w:color="auto" w:sz="4" w:space="0"/>
            </w:tcBorders>
            <w:noWrap w:val="0"/>
            <w:vAlign w:val="center"/>
          </w:tcPr>
          <w:p w14:paraId="6C0D57E9">
            <w:pPr>
              <w:spacing w:line="440" w:lineRule="exact"/>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3CC1A9E2">
            <w:pPr>
              <w:spacing w:line="440" w:lineRule="exact"/>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＋5，－10</w:t>
            </w:r>
          </w:p>
        </w:tc>
        <w:tc>
          <w:tcPr>
            <w:tcW w:w="2551" w:type="dxa"/>
            <w:tcBorders>
              <w:top w:val="single" w:color="auto" w:sz="4" w:space="0"/>
              <w:left w:val="single" w:color="auto" w:sz="4" w:space="0"/>
              <w:bottom w:val="single" w:color="auto" w:sz="4" w:space="0"/>
              <w:right w:val="single" w:color="auto" w:sz="4" w:space="0"/>
            </w:tcBorders>
            <w:noWrap w:val="0"/>
            <w:vAlign w:val="top"/>
          </w:tcPr>
          <w:p w14:paraId="559BF643">
            <w:pPr>
              <w:spacing w:line="440" w:lineRule="exact"/>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＋15，－15</w:t>
            </w:r>
          </w:p>
        </w:tc>
      </w:tr>
      <w:tr w14:paraId="3A963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17" w:type="dxa"/>
            <w:tcBorders>
              <w:top w:val="single" w:color="auto" w:sz="4" w:space="0"/>
              <w:left w:val="single" w:color="auto" w:sz="4" w:space="0"/>
              <w:bottom w:val="single" w:color="auto" w:sz="4" w:space="0"/>
              <w:right w:val="single" w:color="auto" w:sz="4" w:space="0"/>
            </w:tcBorders>
            <w:noWrap w:val="0"/>
            <w:vAlign w:val="center"/>
          </w:tcPr>
          <w:p w14:paraId="777D93E2">
            <w:pPr>
              <w:spacing w:line="440" w:lineRule="exact"/>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雨水口</w:t>
            </w:r>
          </w:p>
        </w:tc>
        <w:tc>
          <w:tcPr>
            <w:tcW w:w="1418" w:type="dxa"/>
            <w:tcBorders>
              <w:top w:val="single" w:color="auto" w:sz="4" w:space="0"/>
              <w:left w:val="single" w:color="auto" w:sz="4" w:space="0"/>
              <w:bottom w:val="single" w:color="auto" w:sz="4" w:space="0"/>
              <w:right w:val="single" w:color="auto" w:sz="4" w:space="0"/>
            </w:tcBorders>
            <w:noWrap w:val="0"/>
            <w:vAlign w:val="center"/>
          </w:tcPr>
          <w:p w14:paraId="40DD4104">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040979A5">
            <w:pPr>
              <w:spacing w:line="440" w:lineRule="exact"/>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0，－10</w:t>
            </w:r>
          </w:p>
        </w:tc>
        <w:tc>
          <w:tcPr>
            <w:tcW w:w="2551" w:type="dxa"/>
            <w:tcBorders>
              <w:top w:val="single" w:color="auto" w:sz="4" w:space="0"/>
              <w:left w:val="single" w:color="auto" w:sz="4" w:space="0"/>
              <w:bottom w:val="single" w:color="auto" w:sz="4" w:space="0"/>
              <w:right w:val="single" w:color="auto" w:sz="4" w:space="0"/>
            </w:tcBorders>
            <w:noWrap w:val="0"/>
            <w:vAlign w:val="top"/>
          </w:tcPr>
          <w:p w14:paraId="5A5EBF15">
            <w:pPr>
              <w:spacing w:line="440" w:lineRule="exact"/>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w:t>
            </w:r>
          </w:p>
        </w:tc>
      </w:tr>
    </w:tbl>
    <w:p w14:paraId="3394DDFC">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2.4.2、井盖的标识必须与管道的属性一致。雨水、污水管道的井盖上应分别标注“雨水”、“污水”等标识。投标人发现与管道的属性不一致应认真核对后上报</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，确认后予以调换。</w:t>
      </w:r>
    </w:p>
    <w:p w14:paraId="3860CA5F">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2.4.3、当发现井盖缺失或损坏后，必须及时安放护栏和警示标志，并及时予以恢复。</w:t>
      </w:r>
    </w:p>
    <w:p w14:paraId="708CB695">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2.4.4、雨水箅更换后的过水断面不得小于原设计标准。</w:t>
      </w:r>
    </w:p>
    <w:p w14:paraId="2707B158">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2.5、资料要求</w:t>
      </w:r>
    </w:p>
    <w:p w14:paraId="4148284E">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2.5.1、妥善保管各种图纸、说明书和有关资料，集中存放，由专人定期整理。设备调拨时有关资料应随机转移，不得扣留或抽取插页。</w:t>
      </w:r>
    </w:p>
    <w:p w14:paraId="1120902F">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2.5.2、每次作业均需留档，包括作业时间、地点、签证工程量、现场照片等。</w:t>
      </w:r>
    </w:p>
    <w:p w14:paraId="54ECFC3B">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2.5.3、建立企业作业日志，妥善保存启用、停用、大修、故障及重要测试数据。</w:t>
      </w:r>
    </w:p>
    <w:p w14:paraId="197AFA5D">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2.5.4、各种记录在当月工作完成后要及时整理。作业计划、报表和记录要装订成册，标识明确。</w:t>
      </w:r>
    </w:p>
    <w:p w14:paraId="2B073C27">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2.5.5、各种养护报表、值班记录，要妥善保存。</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提供服务项目组组成人员名单、常规服务、服务档案、服务建议等；</w:t>
      </w:r>
    </w:p>
    <w:p w14:paraId="4DBFA17A">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2.5.6、作业人员应相对固定，认真填写作业日志，并做到作业人员在故障突发时随叫随到。</w:t>
      </w:r>
    </w:p>
    <w:p w14:paraId="3B7918B0">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2.5.7、施工结束后出具项目区域内管网状况报告，应包括但不限于统计辖区内管网的管径、管长、流向、材质、井框和井盖类型尺寸及所在位置、检查井位置、污水排口位置等数据，整理归档（书面以及电子档）交于</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w:t>
      </w:r>
    </w:p>
    <w:p w14:paraId="7FF4F69C">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3、作业大纲要求（包括但不限于）</w:t>
      </w:r>
    </w:p>
    <w:p w14:paraId="2B66DDA2">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w:t>
      </w:r>
      <w:r>
        <w:rPr>
          <w:rFonts w:hint="eastAsia" w:ascii="宋体" w:hAnsi="宋体" w:cs="宋体"/>
          <w:color w:val="auto"/>
          <w:sz w:val="24"/>
          <w:szCs w:val="24"/>
          <w:highlight w:val="none"/>
          <w:lang w:val="en-US" w:eastAsia="zh-CN"/>
        </w:rPr>
        <w:t>巡视</w:t>
      </w:r>
      <w:r>
        <w:rPr>
          <w:rFonts w:hint="eastAsia" w:ascii="宋体" w:hAnsi="宋体" w:eastAsia="宋体" w:cs="宋体"/>
          <w:color w:val="auto"/>
          <w:sz w:val="24"/>
          <w:szCs w:val="24"/>
          <w:highlight w:val="none"/>
        </w:rPr>
        <w:t>检查方案</w:t>
      </w:r>
    </w:p>
    <w:p w14:paraId="58481888">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3.2、管网、窨井疏通作业方案</w:t>
      </w:r>
    </w:p>
    <w:p w14:paraId="06D025DB">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3.3、资料要求：施工前后现场情况资料的整理存档及台帐资料</w:t>
      </w:r>
    </w:p>
    <w:p w14:paraId="04EF8F88">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3.4、安全文明与现场交通等组织协调措施</w:t>
      </w:r>
    </w:p>
    <w:p w14:paraId="7C0DADC0">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3.5、针对本项目服务质量保证措施方案</w:t>
      </w:r>
    </w:p>
    <w:p w14:paraId="742DA30A">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3.6、各类灾害性天气等应急服务方案</w:t>
      </w:r>
    </w:p>
    <w:p w14:paraId="638BE1D9">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4、其他要求</w:t>
      </w:r>
    </w:p>
    <w:p w14:paraId="28742D36">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4.1、因</w:t>
      </w:r>
      <w:r>
        <w:rPr>
          <w:rFonts w:hint="eastAsia" w:ascii="宋体" w:hAnsi="宋体" w:eastAsia="宋体" w:cs="宋体"/>
          <w:color w:val="auto"/>
          <w:sz w:val="24"/>
          <w:szCs w:val="24"/>
          <w:highlight w:val="none"/>
          <w:lang w:eastAsia="zh-CN"/>
        </w:rPr>
        <w:t>中标人</w:t>
      </w:r>
      <w:r>
        <w:rPr>
          <w:rFonts w:hint="eastAsia" w:ascii="宋体" w:hAnsi="宋体" w:eastAsia="宋体" w:cs="宋体"/>
          <w:color w:val="auto"/>
          <w:sz w:val="24"/>
          <w:szCs w:val="24"/>
          <w:highlight w:val="none"/>
        </w:rPr>
        <w:t>管理不善，造成服务范围内的设施、设备损坏，造成重大损失的由直接责任人赔偿，若直接责任人因故无法赔偿的，</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有权要求</w:t>
      </w:r>
      <w:r>
        <w:rPr>
          <w:rFonts w:hint="eastAsia" w:ascii="宋体" w:hAnsi="宋体" w:eastAsia="宋体" w:cs="宋体"/>
          <w:color w:val="auto"/>
          <w:sz w:val="24"/>
          <w:szCs w:val="24"/>
          <w:highlight w:val="none"/>
          <w:lang w:eastAsia="zh-CN"/>
        </w:rPr>
        <w:t>中标人</w:t>
      </w:r>
      <w:r>
        <w:rPr>
          <w:rFonts w:hint="eastAsia" w:ascii="宋体" w:hAnsi="宋体" w:eastAsia="宋体" w:cs="宋体"/>
          <w:color w:val="auto"/>
          <w:sz w:val="24"/>
          <w:szCs w:val="24"/>
          <w:highlight w:val="none"/>
        </w:rPr>
        <w:t>按实际损失金额赔偿。</w:t>
      </w:r>
    </w:p>
    <w:p w14:paraId="7F9E5A57">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4.2、投标文件中明确的项目组人员、设备与进场作业人员、设备应一致，</w:t>
      </w:r>
      <w:r>
        <w:rPr>
          <w:rFonts w:hint="eastAsia" w:ascii="宋体" w:hAnsi="宋体" w:eastAsia="宋体" w:cs="宋体"/>
          <w:color w:val="auto"/>
          <w:sz w:val="24"/>
          <w:szCs w:val="24"/>
          <w:highlight w:val="none"/>
          <w:lang w:eastAsia="zh-CN"/>
        </w:rPr>
        <w:t>中标人</w:t>
      </w:r>
      <w:r>
        <w:rPr>
          <w:rFonts w:hint="eastAsia" w:ascii="宋体" w:hAnsi="宋体" w:eastAsia="宋体" w:cs="宋体"/>
          <w:color w:val="auto"/>
          <w:sz w:val="24"/>
          <w:szCs w:val="24"/>
          <w:highlight w:val="none"/>
        </w:rPr>
        <w:t>不得随意更换，如发现未经</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许可随意更换主要技术人员及设备，按</w:t>
      </w:r>
      <w:r>
        <w:rPr>
          <w:rFonts w:hint="eastAsia" w:ascii="宋体" w:hAnsi="宋体" w:eastAsia="宋体" w:cs="宋体"/>
          <w:color w:val="auto"/>
          <w:sz w:val="24"/>
          <w:szCs w:val="24"/>
          <w:highlight w:val="none"/>
          <w:lang w:eastAsia="zh-CN"/>
        </w:rPr>
        <w:t>中标人</w:t>
      </w:r>
      <w:r>
        <w:rPr>
          <w:rFonts w:hint="eastAsia" w:ascii="宋体" w:hAnsi="宋体" w:eastAsia="宋体" w:cs="宋体"/>
          <w:color w:val="auto"/>
          <w:sz w:val="24"/>
          <w:szCs w:val="24"/>
          <w:highlight w:val="none"/>
        </w:rPr>
        <w:t>违约处理。</w:t>
      </w:r>
    </w:p>
    <w:p w14:paraId="7A9EECFB">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w:t>
      </w:r>
      <w:r>
        <w:rPr>
          <w:rFonts w:hint="eastAsia" w:ascii="宋体" w:hAnsi="宋体" w:eastAsia="宋体" w:cs="宋体"/>
          <w:color w:val="auto"/>
          <w:sz w:val="24"/>
          <w:szCs w:val="24"/>
          <w:highlight w:val="none"/>
          <w:lang w:eastAsia="zh-CN"/>
        </w:rPr>
        <w:t>中标人</w:t>
      </w:r>
      <w:r>
        <w:rPr>
          <w:rFonts w:hint="eastAsia" w:ascii="宋体" w:hAnsi="宋体" w:eastAsia="宋体" w:cs="宋体"/>
          <w:color w:val="auto"/>
          <w:sz w:val="24"/>
          <w:szCs w:val="24"/>
          <w:highlight w:val="none"/>
        </w:rPr>
        <w:t>人员进场，需持有身份证，资质证书复印件，经与投标文件核对无误，方能上岗工作，人员变动，需法定代表人签字或盖章，阐明变动原因，并需经</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同意。</w:t>
      </w:r>
    </w:p>
    <w:p w14:paraId="792AD34F">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4.4、</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对</w:t>
      </w:r>
      <w:r>
        <w:rPr>
          <w:rFonts w:hint="eastAsia" w:ascii="宋体" w:hAnsi="宋体" w:eastAsia="宋体" w:cs="宋体"/>
          <w:color w:val="auto"/>
          <w:sz w:val="24"/>
          <w:szCs w:val="24"/>
          <w:highlight w:val="none"/>
          <w:lang w:eastAsia="zh-CN"/>
        </w:rPr>
        <w:t>中标人</w:t>
      </w:r>
      <w:r>
        <w:rPr>
          <w:rFonts w:hint="eastAsia" w:ascii="宋体" w:hAnsi="宋体" w:eastAsia="宋体" w:cs="宋体"/>
          <w:color w:val="auto"/>
          <w:sz w:val="24"/>
          <w:szCs w:val="24"/>
          <w:highlight w:val="none"/>
        </w:rPr>
        <w:t>人员每月不定期检查，如发现撤离到其他工地作业时，按</w:t>
      </w:r>
      <w:r>
        <w:rPr>
          <w:rFonts w:hint="eastAsia" w:ascii="宋体" w:hAnsi="宋体" w:eastAsia="宋体" w:cs="宋体"/>
          <w:color w:val="auto"/>
          <w:sz w:val="24"/>
          <w:szCs w:val="24"/>
          <w:highlight w:val="none"/>
          <w:lang w:eastAsia="zh-CN"/>
        </w:rPr>
        <w:t>中标人</w:t>
      </w:r>
      <w:r>
        <w:rPr>
          <w:rFonts w:hint="eastAsia" w:ascii="宋体" w:hAnsi="宋体" w:eastAsia="宋体" w:cs="宋体"/>
          <w:color w:val="auto"/>
          <w:sz w:val="24"/>
          <w:szCs w:val="24"/>
          <w:highlight w:val="none"/>
        </w:rPr>
        <w:t>违约处理。</w:t>
      </w:r>
    </w:p>
    <w:p w14:paraId="4FA2C54D">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4.5、</w:t>
      </w:r>
      <w:r>
        <w:rPr>
          <w:rFonts w:hint="eastAsia" w:ascii="宋体" w:hAnsi="宋体" w:eastAsia="宋体" w:cs="宋体"/>
          <w:color w:val="auto"/>
          <w:sz w:val="24"/>
          <w:szCs w:val="24"/>
          <w:highlight w:val="none"/>
          <w:lang w:eastAsia="zh-CN"/>
        </w:rPr>
        <w:t>中标人</w:t>
      </w:r>
      <w:r>
        <w:rPr>
          <w:rFonts w:hint="eastAsia" w:ascii="宋体" w:hAnsi="宋体" w:eastAsia="宋体" w:cs="宋体"/>
          <w:color w:val="auto"/>
          <w:sz w:val="24"/>
          <w:szCs w:val="24"/>
          <w:highlight w:val="none"/>
        </w:rPr>
        <w:t>应根据</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的要求，以及施工规范、规程等进行施工。</w:t>
      </w:r>
    </w:p>
    <w:p w14:paraId="2B2D8348">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4.6、</w:t>
      </w:r>
      <w:r>
        <w:rPr>
          <w:rFonts w:hint="eastAsia" w:ascii="宋体" w:hAnsi="宋体" w:eastAsia="宋体" w:cs="宋体"/>
          <w:color w:val="auto"/>
          <w:sz w:val="24"/>
          <w:szCs w:val="24"/>
          <w:highlight w:val="none"/>
          <w:lang w:eastAsia="zh-CN"/>
        </w:rPr>
        <w:t>中标人</w:t>
      </w:r>
      <w:r>
        <w:rPr>
          <w:rFonts w:hint="eastAsia" w:ascii="宋体" w:hAnsi="宋体" w:eastAsia="宋体" w:cs="宋体"/>
          <w:color w:val="auto"/>
          <w:sz w:val="24"/>
          <w:szCs w:val="24"/>
          <w:highlight w:val="none"/>
        </w:rPr>
        <w:t>应按期向</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提供符合质量要求的文件资料。</w:t>
      </w:r>
    </w:p>
    <w:p w14:paraId="56AE493C">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4.7、</w:t>
      </w:r>
      <w:r>
        <w:rPr>
          <w:rFonts w:hint="eastAsia" w:ascii="宋体" w:hAnsi="宋体" w:eastAsia="宋体" w:cs="宋体"/>
          <w:color w:val="auto"/>
          <w:sz w:val="24"/>
          <w:szCs w:val="24"/>
          <w:highlight w:val="none"/>
          <w:lang w:eastAsia="zh-CN"/>
        </w:rPr>
        <w:t>中标人</w:t>
      </w:r>
      <w:r>
        <w:rPr>
          <w:rFonts w:hint="eastAsia" w:ascii="宋体" w:hAnsi="宋体" w:eastAsia="宋体" w:cs="宋体"/>
          <w:color w:val="auto"/>
          <w:sz w:val="24"/>
          <w:szCs w:val="24"/>
          <w:highlight w:val="none"/>
        </w:rPr>
        <w:t>自行承担施工期限内人员的全部作业安全责任，并负责仪器设备车辆的使用正常以及其他项目正常实施的一切必要因素。</w:t>
      </w:r>
    </w:p>
    <w:p w14:paraId="79DE600A">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4.8、</w:t>
      </w:r>
      <w:r>
        <w:rPr>
          <w:rFonts w:hint="eastAsia" w:ascii="宋体" w:hAnsi="宋体" w:eastAsia="宋体" w:cs="宋体"/>
          <w:color w:val="auto"/>
          <w:sz w:val="24"/>
          <w:szCs w:val="24"/>
          <w:highlight w:val="none"/>
          <w:lang w:eastAsia="zh-CN"/>
        </w:rPr>
        <w:t>中标人</w:t>
      </w:r>
      <w:r>
        <w:rPr>
          <w:rFonts w:hint="eastAsia" w:ascii="宋体" w:hAnsi="宋体" w:eastAsia="宋体" w:cs="宋体"/>
          <w:color w:val="auto"/>
          <w:sz w:val="24"/>
          <w:szCs w:val="24"/>
          <w:highlight w:val="none"/>
        </w:rPr>
        <w:t>应遵守规范要求，文明施工；</w:t>
      </w:r>
    </w:p>
    <w:p w14:paraId="322F2F20">
      <w:pPr>
        <w:spacing w:line="440" w:lineRule="exact"/>
        <w:ind w:firstLine="480" w:firstLineChars="200"/>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4.9、作业人员对车辆设备、管线等造成损坏，应由</w:t>
      </w:r>
      <w:r>
        <w:rPr>
          <w:rFonts w:hint="eastAsia" w:ascii="宋体" w:hAnsi="宋体" w:eastAsia="宋体" w:cs="宋体"/>
          <w:color w:val="auto"/>
          <w:sz w:val="24"/>
          <w:szCs w:val="24"/>
          <w:highlight w:val="none"/>
          <w:lang w:eastAsia="zh-CN"/>
        </w:rPr>
        <w:t>中标人</w:t>
      </w:r>
      <w:r>
        <w:rPr>
          <w:rFonts w:hint="eastAsia" w:ascii="宋体" w:hAnsi="宋体" w:eastAsia="宋体" w:cs="宋体"/>
          <w:color w:val="auto"/>
          <w:sz w:val="24"/>
          <w:szCs w:val="24"/>
          <w:highlight w:val="none"/>
        </w:rPr>
        <w:t>负责修复及承担一切费用</w:t>
      </w:r>
      <w:r>
        <w:rPr>
          <w:rFonts w:hint="eastAsia" w:ascii="宋体" w:hAnsi="宋体" w:cs="宋体"/>
          <w:color w:val="auto"/>
          <w:sz w:val="24"/>
          <w:szCs w:val="24"/>
          <w:highlight w:val="none"/>
          <w:lang w:eastAsia="zh-CN"/>
        </w:rPr>
        <w:t>。</w:t>
      </w:r>
    </w:p>
    <w:p w14:paraId="2918A405">
      <w:pPr>
        <w:spacing w:line="44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4.10、作业过程中做好围挡以及安全交通标识牌，</w:t>
      </w:r>
      <w:r>
        <w:rPr>
          <w:rFonts w:hint="eastAsia" w:ascii="宋体" w:hAnsi="宋体" w:eastAsia="宋体" w:cs="宋体"/>
          <w:color w:val="auto"/>
          <w:sz w:val="24"/>
          <w:szCs w:val="24"/>
          <w:highlight w:val="none"/>
          <w:lang w:eastAsia="zh-CN"/>
        </w:rPr>
        <w:t>中标人</w:t>
      </w:r>
      <w:r>
        <w:rPr>
          <w:rFonts w:hint="eastAsia" w:ascii="宋体" w:hAnsi="宋体" w:eastAsia="宋体" w:cs="宋体"/>
          <w:color w:val="auto"/>
          <w:sz w:val="24"/>
          <w:szCs w:val="24"/>
          <w:highlight w:val="none"/>
        </w:rPr>
        <w:t>负责及时清理垃圾，保证场地清洁不影响市民出行</w:t>
      </w:r>
      <w:r>
        <w:rPr>
          <w:rFonts w:hint="eastAsia" w:ascii="宋体" w:hAnsi="宋体" w:eastAsia="宋体" w:cs="宋体"/>
          <w:color w:val="auto"/>
          <w:sz w:val="24"/>
          <w:szCs w:val="24"/>
          <w:highlight w:val="none"/>
          <w:lang w:eastAsia="zh-CN"/>
        </w:rPr>
        <w:t>。</w:t>
      </w:r>
    </w:p>
    <w:p w14:paraId="38A0700F">
      <w:pPr>
        <w:spacing w:line="460" w:lineRule="exact"/>
        <w:rPr>
          <w:rFonts w:hint="eastAsia" w:ascii="宋体" w:hAnsi="宋体" w:eastAsia="宋体" w:cs="宋体"/>
          <w:b/>
          <w:bCs/>
          <w:color w:val="auto"/>
          <w:sz w:val="28"/>
          <w:szCs w:val="28"/>
          <w:highlight w:val="none"/>
          <w:lang w:val="en-US" w:eastAsia="zh-CN"/>
        </w:rPr>
      </w:pPr>
    </w:p>
    <w:p w14:paraId="56ED18FB">
      <w:pPr>
        <w:spacing w:line="46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四</w:t>
      </w:r>
      <w:r>
        <w:rPr>
          <w:rFonts w:hint="eastAsia" w:ascii="宋体" w:hAnsi="宋体" w:eastAsia="宋体" w:cs="宋体"/>
          <w:b/>
          <w:bCs/>
          <w:color w:val="auto"/>
          <w:sz w:val="28"/>
          <w:szCs w:val="28"/>
          <w:highlight w:val="none"/>
        </w:rPr>
        <w:t>、</w:t>
      </w:r>
      <w:r>
        <w:rPr>
          <w:rFonts w:hint="eastAsia" w:ascii="宋体" w:hAnsi="宋体" w:eastAsia="宋体" w:cs="宋体"/>
          <w:b/>
          <w:bCs/>
          <w:color w:val="auto"/>
          <w:sz w:val="28"/>
          <w:szCs w:val="28"/>
          <w:highlight w:val="none"/>
          <w:lang w:val="en-US" w:eastAsia="zh-CN"/>
        </w:rPr>
        <w:t>人员及设备要求（包括但不限于）</w:t>
      </w:r>
      <w:r>
        <w:rPr>
          <w:rFonts w:hint="eastAsia" w:ascii="宋体" w:hAnsi="宋体" w:eastAsia="宋体" w:cs="宋体"/>
          <w:b/>
          <w:bCs/>
          <w:color w:val="auto"/>
          <w:sz w:val="28"/>
          <w:szCs w:val="28"/>
          <w:highlight w:val="none"/>
        </w:rPr>
        <w:t>：</w:t>
      </w:r>
    </w:p>
    <w:p w14:paraId="5E84C011">
      <w:pPr>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投标人应根据本项目数量配置相应的施工队伍及设施设备，最低具体如下</w:t>
      </w:r>
      <w:r>
        <w:rPr>
          <w:rFonts w:hint="eastAsia" w:ascii="宋体" w:hAnsi="宋体" w:eastAsia="宋体" w:cs="宋体"/>
          <w:color w:val="auto"/>
          <w:sz w:val="24"/>
          <w:szCs w:val="24"/>
          <w:highlight w:val="none"/>
          <w:lang w:eastAsia="zh-CN"/>
        </w:rPr>
        <w:t>：</w:t>
      </w:r>
    </w:p>
    <w:tbl>
      <w:tblPr>
        <w:tblStyle w:val="54"/>
        <w:tblpPr w:leftFromText="180" w:rightFromText="180" w:vertAnchor="text" w:horzAnchor="page" w:tblpX="1766" w:tblpY="451"/>
        <w:tblOverlap w:val="never"/>
        <w:tblW w:w="93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3"/>
        <w:gridCol w:w="3118"/>
        <w:gridCol w:w="1103"/>
        <w:gridCol w:w="4311"/>
      </w:tblGrid>
      <w:tr w14:paraId="191182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73" w:type="dxa"/>
            <w:noWrap w:val="0"/>
            <w:vAlign w:val="center"/>
          </w:tcPr>
          <w:p w14:paraId="6CF34C8B">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rPr>
            </w:pPr>
            <w:bookmarkStart w:id="276" w:name="RANGE!B24"/>
            <w:r>
              <w:rPr>
                <w:rFonts w:hint="eastAsia" w:ascii="宋体" w:hAnsi="宋体" w:eastAsia="宋体" w:cs="宋体"/>
                <w:color w:val="auto"/>
                <w:sz w:val="24"/>
                <w:szCs w:val="24"/>
                <w:highlight w:val="none"/>
              </w:rPr>
              <w:t>序号</w:t>
            </w:r>
            <w:bookmarkEnd w:id="276"/>
          </w:p>
        </w:tc>
        <w:tc>
          <w:tcPr>
            <w:tcW w:w="3118" w:type="dxa"/>
            <w:noWrap w:val="0"/>
            <w:vAlign w:val="center"/>
          </w:tcPr>
          <w:p w14:paraId="5861B9F6">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rPr>
            </w:pPr>
            <w:bookmarkStart w:id="277" w:name="RANGE!C24"/>
            <w:r>
              <w:rPr>
                <w:rFonts w:hint="eastAsia" w:ascii="宋体" w:hAnsi="宋体" w:eastAsia="宋体" w:cs="宋体"/>
                <w:color w:val="auto"/>
                <w:sz w:val="24"/>
                <w:szCs w:val="24"/>
                <w:highlight w:val="none"/>
              </w:rPr>
              <w:t>名称</w:t>
            </w:r>
            <w:bookmarkEnd w:id="277"/>
          </w:p>
        </w:tc>
        <w:tc>
          <w:tcPr>
            <w:tcW w:w="1103" w:type="dxa"/>
            <w:noWrap w:val="0"/>
            <w:vAlign w:val="center"/>
          </w:tcPr>
          <w:p w14:paraId="3572E96B">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rPr>
            </w:pPr>
            <w:bookmarkStart w:id="278" w:name="RANGE!D24"/>
            <w:r>
              <w:rPr>
                <w:rFonts w:hint="eastAsia" w:ascii="宋体" w:hAnsi="宋体" w:eastAsia="宋体" w:cs="宋体"/>
                <w:color w:val="auto"/>
                <w:sz w:val="24"/>
                <w:szCs w:val="24"/>
                <w:highlight w:val="none"/>
              </w:rPr>
              <w:t>数量</w:t>
            </w:r>
            <w:bookmarkEnd w:id="278"/>
          </w:p>
        </w:tc>
        <w:tc>
          <w:tcPr>
            <w:tcW w:w="4311" w:type="dxa"/>
            <w:noWrap w:val="0"/>
            <w:vAlign w:val="center"/>
          </w:tcPr>
          <w:p w14:paraId="50DAE09F">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rPr>
            </w:pPr>
            <w:bookmarkStart w:id="279" w:name="RANGE!E24"/>
            <w:r>
              <w:rPr>
                <w:rFonts w:hint="eastAsia" w:ascii="宋体" w:hAnsi="宋体" w:eastAsia="宋体" w:cs="宋体"/>
                <w:color w:val="auto"/>
                <w:sz w:val="24"/>
                <w:szCs w:val="24"/>
                <w:highlight w:val="none"/>
              </w:rPr>
              <w:t>备注</w:t>
            </w:r>
            <w:bookmarkEnd w:id="279"/>
          </w:p>
        </w:tc>
      </w:tr>
      <w:tr w14:paraId="6802C4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73" w:type="dxa"/>
            <w:noWrap w:val="0"/>
            <w:vAlign w:val="center"/>
          </w:tcPr>
          <w:p w14:paraId="7E51D164">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w:t>
            </w:r>
          </w:p>
        </w:tc>
        <w:tc>
          <w:tcPr>
            <w:tcW w:w="3118" w:type="dxa"/>
            <w:noWrap w:val="0"/>
            <w:vAlign w:val="center"/>
          </w:tcPr>
          <w:p w14:paraId="329A4B5A">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人员配备</w:t>
            </w:r>
          </w:p>
        </w:tc>
        <w:tc>
          <w:tcPr>
            <w:tcW w:w="1103" w:type="dxa"/>
            <w:noWrap w:val="0"/>
            <w:vAlign w:val="center"/>
          </w:tcPr>
          <w:p w14:paraId="6FF9A727">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4311" w:type="dxa"/>
            <w:noWrap w:val="0"/>
            <w:vAlign w:val="center"/>
          </w:tcPr>
          <w:p w14:paraId="545CEFA3">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r>
      <w:tr w14:paraId="65355C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73" w:type="dxa"/>
            <w:noWrap w:val="0"/>
            <w:vAlign w:val="center"/>
          </w:tcPr>
          <w:p w14:paraId="5B553944">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3118" w:type="dxa"/>
            <w:noWrap w:val="0"/>
            <w:vAlign w:val="center"/>
          </w:tcPr>
          <w:p w14:paraId="32AADE42">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项目负责人（现场管理人员）</w:t>
            </w:r>
          </w:p>
        </w:tc>
        <w:tc>
          <w:tcPr>
            <w:tcW w:w="1103" w:type="dxa"/>
            <w:noWrap w:val="0"/>
            <w:vAlign w:val="center"/>
          </w:tcPr>
          <w:p w14:paraId="448ED4CB">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1人</w:t>
            </w:r>
          </w:p>
        </w:tc>
        <w:tc>
          <w:tcPr>
            <w:tcW w:w="4311" w:type="dxa"/>
            <w:noWrap w:val="0"/>
            <w:vAlign w:val="center"/>
          </w:tcPr>
          <w:p w14:paraId="7E30800E">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rPr>
            </w:pPr>
          </w:p>
        </w:tc>
      </w:tr>
      <w:tr w14:paraId="43656D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73" w:type="dxa"/>
            <w:noWrap w:val="0"/>
            <w:vAlign w:val="center"/>
          </w:tcPr>
          <w:p w14:paraId="01F5ECAC">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3118" w:type="dxa"/>
            <w:noWrap w:val="0"/>
            <w:vAlign w:val="center"/>
          </w:tcPr>
          <w:p w14:paraId="00DB1C88">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项目组作业人员</w:t>
            </w:r>
          </w:p>
        </w:tc>
        <w:tc>
          <w:tcPr>
            <w:tcW w:w="1103" w:type="dxa"/>
            <w:noWrap w:val="0"/>
            <w:vAlign w:val="center"/>
          </w:tcPr>
          <w:p w14:paraId="444D6D8F">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人</w:t>
            </w:r>
          </w:p>
        </w:tc>
        <w:tc>
          <w:tcPr>
            <w:tcW w:w="4311" w:type="dxa"/>
            <w:noWrap w:val="0"/>
            <w:vAlign w:val="center"/>
          </w:tcPr>
          <w:p w14:paraId="49416F9F">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strike w:val="0"/>
                <w:dstrike w:val="0"/>
                <w:color w:val="auto"/>
                <w:sz w:val="24"/>
                <w:szCs w:val="24"/>
                <w:highlight w:val="none"/>
                <w:lang w:val="en-US" w:eastAsia="zh-CN"/>
              </w:rPr>
              <w:t>包括巡视</w:t>
            </w:r>
            <w:r>
              <w:rPr>
                <w:rFonts w:hint="eastAsia" w:ascii="宋体" w:hAnsi="宋体" w:eastAsia="宋体" w:cs="宋体"/>
                <w:strike w:val="0"/>
                <w:dstrike w:val="0"/>
                <w:color w:val="auto"/>
                <w:sz w:val="24"/>
                <w:szCs w:val="24"/>
                <w:highlight w:val="none"/>
              </w:rPr>
              <w:t>人员</w:t>
            </w:r>
            <w:r>
              <w:rPr>
                <w:rFonts w:hint="eastAsia" w:ascii="宋体" w:hAnsi="宋体" w:cs="宋体"/>
                <w:strike w:val="0"/>
                <w:dstrike w:val="0"/>
                <w:color w:val="auto"/>
                <w:sz w:val="24"/>
                <w:szCs w:val="24"/>
                <w:highlight w:val="none"/>
                <w:lang w:eastAsia="zh-CN"/>
              </w:rPr>
              <w:t>、</w:t>
            </w:r>
            <w:r>
              <w:rPr>
                <w:rFonts w:hint="eastAsia" w:ascii="宋体" w:hAnsi="宋体" w:cs="宋体"/>
                <w:strike w:val="0"/>
                <w:dstrike w:val="0"/>
                <w:color w:val="auto"/>
                <w:sz w:val="24"/>
                <w:szCs w:val="24"/>
                <w:highlight w:val="none"/>
                <w:lang w:val="en-US" w:eastAsia="zh-CN"/>
              </w:rPr>
              <w:t>水质分析员、下井作业人员、零星维修等满足项目服务要求</w:t>
            </w:r>
          </w:p>
        </w:tc>
      </w:tr>
      <w:tr w14:paraId="42E016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73" w:type="dxa"/>
            <w:noWrap w:val="0"/>
            <w:vAlign w:val="center"/>
          </w:tcPr>
          <w:p w14:paraId="76736F21">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w:t>
            </w:r>
          </w:p>
        </w:tc>
        <w:tc>
          <w:tcPr>
            <w:tcW w:w="8532" w:type="dxa"/>
            <w:gridSpan w:val="3"/>
            <w:noWrap w:val="0"/>
            <w:vAlign w:val="center"/>
          </w:tcPr>
          <w:p w14:paraId="4D65A36E">
            <w:pPr>
              <w:keepNext w:val="0"/>
              <w:keepLines w:val="0"/>
              <w:pageBreakBefore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车辆设备：根据本项目服务要求，投标人需配备相应车辆（含驾驶员）</w:t>
            </w:r>
          </w:p>
        </w:tc>
      </w:tr>
    </w:tbl>
    <w:p w14:paraId="7C1F28D2">
      <w:pPr>
        <w:spacing w:line="460" w:lineRule="exact"/>
        <w:rPr>
          <w:rFonts w:hint="eastAsia" w:ascii="宋体" w:hAnsi="宋体" w:eastAsia="宋体" w:cs="宋体"/>
          <w:b/>
          <w:bCs/>
          <w:color w:val="auto"/>
          <w:sz w:val="28"/>
          <w:szCs w:val="28"/>
          <w:highlight w:val="none"/>
          <w:lang w:val="en-US" w:eastAsia="zh-CN"/>
        </w:rPr>
      </w:pPr>
    </w:p>
    <w:p w14:paraId="66B9E083">
      <w:pPr>
        <w:spacing w:line="46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五</w:t>
      </w:r>
      <w:r>
        <w:rPr>
          <w:rFonts w:hint="eastAsia" w:ascii="宋体" w:hAnsi="宋体" w:eastAsia="宋体" w:cs="宋体"/>
          <w:b/>
          <w:bCs/>
          <w:color w:val="auto"/>
          <w:sz w:val="28"/>
          <w:szCs w:val="28"/>
          <w:highlight w:val="none"/>
        </w:rPr>
        <w:t>、</w:t>
      </w:r>
      <w:r>
        <w:rPr>
          <w:rFonts w:hint="eastAsia" w:ascii="宋体" w:hAnsi="宋体" w:eastAsia="宋体" w:cs="宋体"/>
          <w:b/>
          <w:bCs/>
          <w:color w:val="auto"/>
          <w:sz w:val="28"/>
          <w:szCs w:val="28"/>
          <w:highlight w:val="none"/>
          <w:lang w:val="en-US" w:eastAsia="zh-CN"/>
        </w:rPr>
        <w:t>投标报价要求</w:t>
      </w:r>
      <w:r>
        <w:rPr>
          <w:rFonts w:hint="eastAsia" w:ascii="宋体" w:hAnsi="宋体" w:eastAsia="宋体" w:cs="宋体"/>
          <w:b/>
          <w:bCs/>
          <w:color w:val="auto"/>
          <w:sz w:val="28"/>
          <w:szCs w:val="28"/>
          <w:highlight w:val="none"/>
        </w:rPr>
        <w:t>：</w:t>
      </w:r>
    </w:p>
    <w:p w14:paraId="7E614529">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1、投标人须对本项目中要求的所有服务进行投报，不得拆开投报或只投其中的部分内容，否则作无效投标处理。</w:t>
      </w:r>
    </w:p>
    <w:p w14:paraId="3055B8F7">
      <w:pPr>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b/>
          <w:color w:val="auto"/>
          <w:sz w:val="24"/>
          <w:szCs w:val="24"/>
          <w:highlight w:val="none"/>
          <w:lang w:val="zh-CN"/>
        </w:rPr>
        <w:t>本项目采购预算为¥</w:t>
      </w:r>
      <w:r>
        <w:rPr>
          <w:rFonts w:hint="eastAsia" w:ascii="宋体" w:hAnsi="宋体" w:eastAsia="宋体" w:cs="宋体"/>
          <w:b/>
          <w:color w:val="auto"/>
          <w:sz w:val="24"/>
          <w:szCs w:val="24"/>
          <w:highlight w:val="none"/>
          <w:lang w:val="en-US" w:eastAsia="zh-CN"/>
        </w:rPr>
        <w:t>180</w:t>
      </w:r>
      <w:r>
        <w:rPr>
          <w:rFonts w:hint="eastAsia" w:ascii="宋体" w:hAnsi="宋体" w:eastAsia="宋体" w:cs="宋体"/>
          <w:b/>
          <w:color w:val="auto"/>
          <w:sz w:val="24"/>
          <w:szCs w:val="24"/>
          <w:highlight w:val="none"/>
          <w:lang w:val="zh-CN"/>
        </w:rPr>
        <w:t>0000.00元（人民币壹佰</w:t>
      </w:r>
      <w:r>
        <w:rPr>
          <w:rFonts w:hint="eastAsia" w:ascii="宋体" w:hAnsi="宋体" w:eastAsia="宋体" w:cs="宋体"/>
          <w:b/>
          <w:color w:val="auto"/>
          <w:sz w:val="24"/>
          <w:szCs w:val="24"/>
          <w:highlight w:val="none"/>
          <w:lang w:val="en-US" w:eastAsia="zh-CN"/>
        </w:rPr>
        <w:t>捌拾</w:t>
      </w:r>
      <w:r>
        <w:rPr>
          <w:rFonts w:hint="eastAsia" w:ascii="宋体" w:hAnsi="宋体" w:eastAsia="宋体" w:cs="宋体"/>
          <w:b/>
          <w:color w:val="auto"/>
          <w:sz w:val="24"/>
          <w:szCs w:val="24"/>
          <w:highlight w:val="none"/>
          <w:lang w:val="zh-CN"/>
        </w:rPr>
        <w:t>万元整）。</w:t>
      </w:r>
      <w:r>
        <w:rPr>
          <w:rFonts w:hint="eastAsia" w:ascii="宋体" w:hAnsi="宋体" w:eastAsia="宋体" w:cs="宋体"/>
          <w:b/>
          <w:color w:val="auto"/>
          <w:sz w:val="24"/>
          <w:szCs w:val="24"/>
          <w:highlight w:val="none"/>
          <w:lang w:val="zh-CN" w:eastAsia="zh-CN"/>
        </w:rPr>
        <w:t>本项目以优惠率报价，</w:t>
      </w:r>
      <w:r>
        <w:rPr>
          <w:rFonts w:hint="eastAsia" w:ascii="宋体" w:hAnsi="宋体" w:eastAsia="宋体" w:cs="宋体"/>
          <w:b/>
          <w:color w:val="auto"/>
          <w:sz w:val="24"/>
          <w:szCs w:val="24"/>
          <w:highlight w:val="none"/>
          <w:lang w:val="zh-CN"/>
        </w:rPr>
        <w:t>各</w:t>
      </w:r>
      <w:r>
        <w:rPr>
          <w:rFonts w:hint="eastAsia" w:ascii="宋体" w:hAnsi="宋体" w:eastAsia="宋体" w:cs="宋体"/>
          <w:b/>
          <w:color w:val="auto"/>
          <w:sz w:val="24"/>
          <w:szCs w:val="24"/>
          <w:highlight w:val="none"/>
          <w:lang w:val="en-US" w:eastAsia="zh-CN"/>
        </w:rPr>
        <w:t>投标人的</w:t>
      </w:r>
      <w:r>
        <w:rPr>
          <w:rFonts w:hint="eastAsia" w:ascii="宋体" w:hAnsi="宋体" w:eastAsia="宋体" w:cs="宋体"/>
          <w:b/>
          <w:color w:val="auto"/>
          <w:sz w:val="24"/>
          <w:szCs w:val="24"/>
          <w:highlight w:val="none"/>
          <w:lang w:val="zh-CN"/>
        </w:rPr>
        <w:t>投标</w:t>
      </w:r>
      <w:r>
        <w:rPr>
          <w:rFonts w:hint="eastAsia" w:ascii="宋体" w:hAnsi="宋体" w:eastAsia="宋体" w:cs="宋体"/>
          <w:b/>
          <w:color w:val="auto"/>
          <w:sz w:val="24"/>
          <w:szCs w:val="24"/>
          <w:highlight w:val="none"/>
          <w:lang w:val="zh-CN" w:eastAsia="zh-CN"/>
        </w:rPr>
        <w:t>优惠</w:t>
      </w:r>
      <w:r>
        <w:rPr>
          <w:rFonts w:hint="eastAsia" w:ascii="宋体" w:hAnsi="宋体" w:eastAsia="宋体" w:cs="宋体"/>
          <w:b/>
          <w:color w:val="auto"/>
          <w:sz w:val="24"/>
          <w:szCs w:val="24"/>
          <w:highlight w:val="none"/>
          <w:lang w:val="zh-CN"/>
        </w:rPr>
        <w:t>率均不得</w:t>
      </w:r>
      <w:r>
        <w:rPr>
          <w:rFonts w:hint="eastAsia" w:ascii="宋体" w:hAnsi="宋体" w:eastAsia="宋体" w:cs="宋体"/>
          <w:b/>
          <w:color w:val="auto"/>
          <w:sz w:val="24"/>
          <w:szCs w:val="24"/>
          <w:highlight w:val="none"/>
          <w:lang w:val="zh-CN" w:eastAsia="zh-CN"/>
        </w:rPr>
        <w:t>低于0%</w:t>
      </w:r>
      <w:r>
        <w:rPr>
          <w:rFonts w:hint="eastAsia" w:ascii="宋体" w:hAnsi="宋体" w:eastAsia="宋体" w:cs="宋体"/>
          <w:b/>
          <w:color w:val="auto"/>
          <w:sz w:val="24"/>
          <w:szCs w:val="24"/>
          <w:highlight w:val="none"/>
          <w:lang w:val="zh-CN"/>
        </w:rPr>
        <w:t>，否则将作无效投标处理。</w:t>
      </w:r>
    </w:p>
    <w:p w14:paraId="0416146E">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、投标应以人民币报价，投标总价包括：</w:t>
      </w:r>
      <w:r>
        <w:rPr>
          <w:rFonts w:hint="eastAsia" w:ascii="宋体" w:hAnsi="宋体" w:eastAsia="宋体" w:cs="宋体"/>
          <w:b w:val="0"/>
          <w:bCs w:val="0"/>
          <w:color w:val="000000" w:themeColor="text1"/>
          <w:sz w:val="24"/>
          <w:szCs w:val="24"/>
          <w:highlight w:val="none"/>
          <w14:textFill>
            <w14:solidFill>
              <w14:schemeClr w14:val="tx1"/>
            </w14:solidFill>
          </w14:textFill>
        </w:rPr>
        <w:t>劳务、运输、管理、安装、养护、保险、利润、税金、政策性文件规定及合同包含的所有风险、责任等各项应有费用</w:t>
      </w:r>
      <w:r>
        <w:rPr>
          <w:rFonts w:hint="eastAsia" w:ascii="宋体" w:hAnsi="宋体" w:eastAsia="宋体" w:cs="宋体"/>
          <w:color w:val="auto"/>
          <w:sz w:val="24"/>
          <w:szCs w:val="24"/>
          <w:highlight w:val="none"/>
        </w:rPr>
        <w:t>。</w:t>
      </w:r>
    </w:p>
    <w:p w14:paraId="30905D2C">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color w:val="000000" w:themeColor="text1"/>
          <w:sz w:val="24"/>
          <w:szCs w:val="24"/>
          <w:highlight w:val="none"/>
          <w14:textFill>
            <w14:solidFill>
              <w14:schemeClr w14:val="tx1"/>
            </w14:solidFill>
          </w14:textFill>
        </w:rPr>
        <w:t>投标人在报价时应充分考虑各种风险因素，包括但不限于遇重大活动、检查、突发情况、省市有关项目政策调整、最低工资调整、物价调整、税费调整等。相关风险因素费用全部包含在报价中，采购人不再为本项目支付其他任何费用</w:t>
      </w:r>
      <w:r>
        <w:rPr>
          <w:rFonts w:hint="eastAsia" w:ascii="宋体" w:hAnsi="宋体" w:eastAsia="宋体" w:cs="宋体"/>
          <w:color w:val="auto"/>
          <w:sz w:val="24"/>
          <w:szCs w:val="24"/>
          <w:highlight w:val="none"/>
        </w:rPr>
        <w:t>。</w:t>
      </w:r>
    </w:p>
    <w:p w14:paraId="7099D0D7">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w:t>
      </w:r>
      <w:r>
        <w:rPr>
          <w:rFonts w:hint="eastAsia" w:ascii="宋体" w:hAnsi="宋体" w:eastAsia="宋体" w:cs="宋体"/>
          <w:color w:val="000000" w:themeColor="text1"/>
          <w:sz w:val="24"/>
          <w:szCs w:val="24"/>
          <w:highlight w:val="none"/>
          <w14:textFill>
            <w14:solidFill>
              <w14:schemeClr w14:val="tx1"/>
            </w14:solidFill>
          </w14:textFill>
        </w:rPr>
        <w:t>中标人工作人员在岗履行职责期间（包括上下班途中），发生自身的人身伤害、伤亡，均由中标人负责处理并承担经济和道义上的责任，采购人不承担任何责任</w:t>
      </w:r>
      <w:r>
        <w:rPr>
          <w:rFonts w:hint="eastAsia" w:ascii="宋体" w:hAnsi="宋体" w:eastAsia="宋体" w:cs="宋体"/>
          <w:color w:val="auto"/>
          <w:sz w:val="24"/>
          <w:szCs w:val="24"/>
          <w:highlight w:val="none"/>
        </w:rPr>
        <w:t>。</w:t>
      </w:r>
    </w:p>
    <w:bookmarkEnd w:id="274"/>
    <w:bookmarkEnd w:id="275"/>
    <w:p w14:paraId="1E829EA8">
      <w:pPr>
        <w:spacing w:line="460" w:lineRule="exact"/>
        <w:rPr>
          <w:rFonts w:hint="eastAsia" w:ascii="宋体" w:hAnsi="宋体" w:eastAsia="宋体" w:cs="宋体"/>
          <w:b/>
          <w:bCs/>
          <w:color w:val="auto"/>
          <w:sz w:val="28"/>
          <w:szCs w:val="28"/>
          <w:highlight w:val="none"/>
        </w:rPr>
      </w:pPr>
    </w:p>
    <w:p w14:paraId="76F48605">
      <w:pPr>
        <w:spacing w:line="460" w:lineRule="exact"/>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val="en-US" w:eastAsia="zh-CN"/>
        </w:rPr>
        <w:t>六</w:t>
      </w:r>
      <w:r>
        <w:rPr>
          <w:rFonts w:hint="eastAsia" w:ascii="宋体" w:hAnsi="宋体" w:eastAsia="宋体" w:cs="宋体"/>
          <w:b/>
          <w:bCs/>
          <w:color w:val="auto"/>
          <w:sz w:val="28"/>
          <w:szCs w:val="28"/>
          <w:highlight w:val="none"/>
        </w:rPr>
        <w:t>、验收要求</w:t>
      </w:r>
      <w:r>
        <w:rPr>
          <w:rFonts w:hint="eastAsia" w:ascii="宋体" w:hAnsi="宋体" w:eastAsia="宋体" w:cs="宋体"/>
          <w:b/>
          <w:bCs/>
          <w:color w:val="auto"/>
          <w:sz w:val="28"/>
          <w:szCs w:val="28"/>
          <w:highlight w:val="none"/>
          <w:lang w:eastAsia="zh-CN"/>
        </w:rPr>
        <w:t>：</w:t>
      </w:r>
    </w:p>
    <w:p w14:paraId="39D6ABEF">
      <w:pPr>
        <w:tabs>
          <w:tab w:val="left" w:pos="0"/>
        </w:tabs>
        <w:spacing w:line="440" w:lineRule="exact"/>
        <w:ind w:right="-27"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采购人</w:t>
      </w:r>
      <w:r>
        <w:rPr>
          <w:rFonts w:hint="eastAsia" w:ascii="宋体" w:hAnsi="宋体" w:eastAsia="宋体" w:cs="宋体"/>
          <w:bCs/>
          <w:color w:val="000000" w:themeColor="text1"/>
          <w:sz w:val="24"/>
          <w:szCs w:val="24"/>
          <w:highlight w:val="none"/>
          <w14:textFill>
            <w14:solidFill>
              <w14:schemeClr w14:val="tx1"/>
            </w14:solidFill>
          </w14:textFill>
        </w:rPr>
        <w:t>依法组织履约验收工作。</w:t>
      </w:r>
    </w:p>
    <w:p w14:paraId="55306E48">
      <w:pPr>
        <w:tabs>
          <w:tab w:val="left" w:pos="0"/>
        </w:tabs>
        <w:spacing w:line="440" w:lineRule="exact"/>
        <w:ind w:right="-27"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采购人</w:t>
      </w:r>
      <w:r>
        <w:rPr>
          <w:rFonts w:hint="eastAsia" w:ascii="宋体" w:hAnsi="宋体" w:eastAsia="宋体" w:cs="宋体"/>
          <w:bCs/>
          <w:color w:val="000000" w:themeColor="text1"/>
          <w:sz w:val="24"/>
          <w:szCs w:val="24"/>
          <w:highlight w:val="none"/>
          <w14:textFill>
            <w14:solidFill>
              <w14:schemeClr w14:val="tx1"/>
            </w14:solidFill>
          </w14:textFill>
        </w:rPr>
        <w:t>按照确定的验收方案（包括履约验收的时间、方式、程序等内容），服务效果进行验收。</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中标人</w:t>
      </w:r>
      <w:r>
        <w:rPr>
          <w:rFonts w:hint="eastAsia" w:ascii="宋体" w:hAnsi="宋体" w:eastAsia="宋体" w:cs="宋体"/>
          <w:bCs/>
          <w:color w:val="000000" w:themeColor="text1"/>
          <w:sz w:val="24"/>
          <w:szCs w:val="24"/>
          <w:highlight w:val="none"/>
          <w14:textFill>
            <w14:solidFill>
              <w14:schemeClr w14:val="tx1"/>
            </w14:solidFill>
          </w14:textFill>
        </w:rPr>
        <w:t>应根据验收方案内容做好相应配合工作。</w:t>
      </w:r>
    </w:p>
    <w:p w14:paraId="654ECB7C">
      <w:pPr>
        <w:tabs>
          <w:tab w:val="left" w:pos="0"/>
        </w:tabs>
        <w:spacing w:line="440" w:lineRule="exact"/>
        <w:ind w:right="-27"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3、</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如有</w:t>
      </w:r>
      <w:r>
        <w:rPr>
          <w:rFonts w:hint="eastAsia" w:ascii="宋体" w:hAnsi="宋体" w:eastAsia="宋体" w:cs="宋体"/>
          <w:bCs/>
          <w:color w:val="000000" w:themeColor="text1"/>
          <w:sz w:val="24"/>
          <w:szCs w:val="24"/>
          <w:highlight w:val="none"/>
          <w14:textFill>
            <w14:solidFill>
              <w14:schemeClr w14:val="tx1"/>
            </w14:solidFill>
          </w14:textFill>
        </w:rPr>
        <w:t>实际使用人和</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采购人</w:t>
      </w:r>
      <w:r>
        <w:rPr>
          <w:rFonts w:hint="eastAsia" w:ascii="宋体" w:hAnsi="宋体" w:eastAsia="宋体" w:cs="宋体"/>
          <w:bCs/>
          <w:color w:val="000000" w:themeColor="text1"/>
          <w:sz w:val="24"/>
          <w:szCs w:val="24"/>
          <w:highlight w:val="none"/>
          <w14:textFill>
            <w14:solidFill>
              <w14:schemeClr w14:val="tx1"/>
            </w14:solidFill>
          </w14:textFill>
        </w:rPr>
        <w:t>分离的项目，</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采购人</w:t>
      </w:r>
      <w:r>
        <w:rPr>
          <w:rFonts w:hint="eastAsia" w:ascii="宋体" w:hAnsi="宋体" w:eastAsia="宋体" w:cs="宋体"/>
          <w:bCs/>
          <w:color w:val="000000" w:themeColor="text1"/>
          <w:sz w:val="24"/>
          <w:szCs w:val="24"/>
          <w:highlight w:val="none"/>
          <w14:textFill>
            <w14:solidFill>
              <w14:schemeClr w14:val="tx1"/>
            </w14:solidFill>
          </w14:textFill>
        </w:rPr>
        <w:t>邀请实际使用人参与验收。</w:t>
      </w:r>
    </w:p>
    <w:p w14:paraId="0112F6A6">
      <w:pPr>
        <w:tabs>
          <w:tab w:val="left" w:pos="0"/>
        </w:tabs>
        <w:spacing w:line="440" w:lineRule="exact"/>
        <w:ind w:right="-27" w:firstLine="480"/>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4、</w:t>
      </w:r>
      <w:r>
        <w:rPr>
          <w:rFonts w:hint="eastAsia" w:ascii="宋体" w:hAnsi="宋体" w:cs="宋体"/>
          <w:bCs/>
          <w:color w:val="000000" w:themeColor="text1"/>
          <w:sz w:val="24"/>
          <w:szCs w:val="24"/>
          <w:highlight w:val="none"/>
          <w14:textFill>
            <w14:solidFill>
              <w14:schemeClr w14:val="tx1"/>
            </w14:solidFill>
          </w14:textFill>
        </w:rPr>
        <w:t>如有必要，</w:t>
      </w:r>
      <w:r>
        <w:rPr>
          <w:rFonts w:hint="eastAsia" w:ascii="宋体" w:hAnsi="宋体" w:cs="宋体"/>
          <w:bCs/>
          <w:color w:val="000000" w:themeColor="text1"/>
          <w:sz w:val="24"/>
          <w:szCs w:val="24"/>
          <w:highlight w:val="none"/>
          <w:lang w:val="en-US" w:eastAsia="zh-CN"/>
          <w14:textFill>
            <w14:solidFill>
              <w14:schemeClr w14:val="tx1"/>
            </w14:solidFill>
          </w14:textFill>
        </w:rPr>
        <w:t>采购人可以</w:t>
      </w:r>
      <w:r>
        <w:rPr>
          <w:rFonts w:hint="eastAsia" w:ascii="宋体" w:hAnsi="宋体" w:cs="宋体"/>
          <w:bCs/>
          <w:color w:val="000000" w:themeColor="text1"/>
          <w:sz w:val="24"/>
          <w:szCs w:val="24"/>
          <w:highlight w:val="none"/>
          <w14:textFill>
            <w14:solidFill>
              <w14:schemeClr w14:val="tx1"/>
            </w14:solidFill>
          </w14:textFill>
        </w:rPr>
        <w:t>邀请参加本项目的其他投标人或第三方专业机构及专家参与验收，相关意见将作为验收书的参考资料</w:t>
      </w:r>
      <w:r>
        <w:rPr>
          <w:rFonts w:hint="eastAsia" w:ascii="宋体" w:hAnsi="宋体" w:cs="宋体"/>
          <w:bCs/>
          <w:color w:val="000000" w:themeColor="text1"/>
          <w:sz w:val="24"/>
          <w:szCs w:val="24"/>
          <w:highlight w:val="none"/>
          <w:lang w:eastAsia="zh-CN"/>
          <w14:textFill>
            <w14:solidFill>
              <w14:schemeClr w14:val="tx1"/>
            </w14:solidFill>
          </w14:textFill>
        </w:rPr>
        <w:t>。</w:t>
      </w:r>
    </w:p>
    <w:p w14:paraId="69FD6D2E">
      <w:pPr>
        <w:tabs>
          <w:tab w:val="left" w:pos="0"/>
        </w:tabs>
        <w:spacing w:line="440" w:lineRule="exact"/>
        <w:ind w:right="-27"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Cs/>
          <w:color w:val="000000" w:themeColor="text1"/>
          <w:sz w:val="24"/>
          <w:szCs w:val="24"/>
          <w:highlight w:val="none"/>
          <w14:textFill>
            <w14:solidFill>
              <w14:schemeClr w14:val="tx1"/>
            </w14:solidFill>
          </w14:textFill>
        </w:rPr>
        <w:t>、</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采购人</w:t>
      </w:r>
      <w:r>
        <w:rPr>
          <w:rFonts w:hint="eastAsia" w:ascii="宋体" w:hAnsi="宋体" w:eastAsia="宋体" w:cs="宋体"/>
          <w:bCs/>
          <w:color w:val="000000" w:themeColor="text1"/>
          <w:sz w:val="24"/>
          <w:szCs w:val="24"/>
          <w:highlight w:val="none"/>
          <w14:textFill>
            <w14:solidFill>
              <w14:schemeClr w14:val="tx1"/>
            </w14:solidFill>
          </w14:textFill>
        </w:rPr>
        <w:t>成立验收小组，按照采购合同的约定对</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中标人</w:t>
      </w:r>
      <w:r>
        <w:rPr>
          <w:rFonts w:hint="eastAsia" w:ascii="宋体" w:hAnsi="宋体" w:eastAsia="宋体" w:cs="宋体"/>
          <w:bCs/>
          <w:color w:val="000000" w:themeColor="text1"/>
          <w:sz w:val="24"/>
          <w:szCs w:val="24"/>
          <w:highlight w:val="none"/>
          <w14:textFill>
            <w14:solidFill>
              <w14:schemeClr w14:val="tx1"/>
            </w14:solidFill>
          </w14:textFill>
        </w:rPr>
        <w:t>的履约情况进行验收。验收时,</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采购人</w:t>
      </w:r>
      <w:r>
        <w:rPr>
          <w:rFonts w:hint="eastAsia" w:ascii="宋体" w:hAnsi="宋体" w:eastAsia="宋体" w:cs="宋体"/>
          <w:bCs/>
          <w:color w:val="000000" w:themeColor="text1"/>
          <w:sz w:val="24"/>
          <w:szCs w:val="24"/>
          <w:highlight w:val="none"/>
          <w14:textFill>
            <w14:solidFill>
              <w14:schemeClr w14:val="tx1"/>
            </w14:solidFill>
          </w14:textFill>
        </w:rPr>
        <w:t>按照采购合同的约定对每一项技术、服务、安全标准的履约情况进行确认。验收结束后,验收小组出具验收书,列明各项标准的验收情况及项目总体评价,由验收双方共同签署。验收结果与采购合同约定的资金支付及履约保证金</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如有</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返还条件挂钩。履约验收的各项资料存档备查。</w:t>
      </w:r>
    </w:p>
    <w:p w14:paraId="6E3C8FC1">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cs="宋体"/>
          <w:bCs/>
          <w:color w:val="000000" w:themeColor="text1"/>
          <w:sz w:val="24"/>
          <w:szCs w:val="24"/>
          <w:highlight w:val="none"/>
          <w:lang w:val="en-US" w:eastAsia="zh-CN"/>
          <w14:textFill>
            <w14:solidFill>
              <w14:schemeClr w14:val="tx1"/>
            </w14:solidFill>
          </w14:textFill>
        </w:rPr>
        <w:t>6</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验收合格的项目,</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采购人</w:t>
      </w:r>
      <w:r>
        <w:rPr>
          <w:rFonts w:hint="eastAsia" w:ascii="宋体" w:hAnsi="宋体" w:eastAsia="宋体" w:cs="宋体"/>
          <w:bCs/>
          <w:color w:val="000000" w:themeColor="text1"/>
          <w:sz w:val="24"/>
          <w:szCs w:val="24"/>
          <w:highlight w:val="none"/>
          <w14:textFill>
            <w14:solidFill>
              <w14:schemeClr w14:val="tx1"/>
            </w14:solidFill>
          </w14:textFill>
        </w:rPr>
        <w:t>根据采购合同的约定及时向</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中标人</w:t>
      </w:r>
      <w:r>
        <w:rPr>
          <w:rFonts w:hint="eastAsia" w:ascii="宋体" w:hAnsi="宋体" w:eastAsia="宋体" w:cs="宋体"/>
          <w:bCs/>
          <w:color w:val="000000" w:themeColor="text1"/>
          <w:sz w:val="24"/>
          <w:szCs w:val="24"/>
          <w:highlight w:val="none"/>
          <w14:textFill>
            <w14:solidFill>
              <w14:schemeClr w14:val="tx1"/>
            </w14:solidFill>
          </w14:textFill>
        </w:rPr>
        <w:t>支付合同款项、退还履约保证金（如有）。验收不合格的项目，</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采购人</w:t>
      </w:r>
      <w:r>
        <w:rPr>
          <w:rFonts w:hint="eastAsia" w:ascii="宋体" w:hAnsi="宋体" w:eastAsia="宋体" w:cs="宋体"/>
          <w:bCs/>
          <w:color w:val="000000" w:themeColor="text1"/>
          <w:sz w:val="24"/>
          <w:szCs w:val="24"/>
          <w:highlight w:val="none"/>
          <w14:textFill>
            <w14:solidFill>
              <w14:schemeClr w14:val="tx1"/>
            </w14:solidFill>
          </w14:textFill>
        </w:rPr>
        <w:t>依法及时处理</w:t>
      </w:r>
      <w:r>
        <w:rPr>
          <w:rFonts w:hint="eastAsia" w:ascii="宋体" w:hAnsi="宋体" w:eastAsia="宋体" w:cs="宋体"/>
          <w:color w:val="auto"/>
          <w:sz w:val="24"/>
          <w:szCs w:val="24"/>
          <w:highlight w:val="none"/>
        </w:rPr>
        <w:t>。</w:t>
      </w:r>
    </w:p>
    <w:p w14:paraId="7FF906C0">
      <w:pPr>
        <w:spacing w:line="440" w:lineRule="exact"/>
        <w:ind w:firstLine="480" w:firstLineChars="200"/>
        <w:rPr>
          <w:rFonts w:hint="eastAsia" w:ascii="宋体" w:hAnsi="宋体" w:eastAsia="宋体" w:cs="宋体"/>
          <w:color w:val="auto"/>
          <w:sz w:val="24"/>
          <w:szCs w:val="24"/>
          <w:highlight w:val="none"/>
        </w:rPr>
      </w:pPr>
    </w:p>
    <w:p w14:paraId="4B3171C1">
      <w:pPr>
        <w:spacing w:line="460" w:lineRule="exact"/>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val="en-US" w:eastAsia="zh-CN"/>
        </w:rPr>
        <w:t>七</w:t>
      </w:r>
      <w:r>
        <w:rPr>
          <w:rFonts w:hint="eastAsia" w:ascii="宋体" w:hAnsi="宋体" w:eastAsia="宋体" w:cs="宋体"/>
          <w:b/>
          <w:bCs/>
          <w:color w:val="auto"/>
          <w:sz w:val="28"/>
          <w:szCs w:val="28"/>
          <w:highlight w:val="none"/>
        </w:rPr>
        <w:t>、</w:t>
      </w:r>
      <w:r>
        <w:rPr>
          <w:rFonts w:hint="eastAsia" w:ascii="宋体" w:hAnsi="宋体" w:eastAsia="宋体" w:cs="宋体"/>
          <w:b/>
          <w:bCs/>
          <w:color w:val="auto"/>
          <w:sz w:val="28"/>
          <w:szCs w:val="28"/>
          <w:highlight w:val="none"/>
          <w:lang w:val="en-US" w:eastAsia="zh-CN"/>
        </w:rPr>
        <w:t>其他说明</w:t>
      </w:r>
      <w:r>
        <w:rPr>
          <w:rFonts w:hint="eastAsia" w:ascii="宋体" w:hAnsi="宋体" w:eastAsia="宋体" w:cs="宋体"/>
          <w:b/>
          <w:bCs/>
          <w:color w:val="auto"/>
          <w:sz w:val="28"/>
          <w:szCs w:val="28"/>
          <w:highlight w:val="none"/>
          <w:lang w:eastAsia="zh-CN"/>
        </w:rPr>
        <w:t>：</w:t>
      </w:r>
    </w:p>
    <w:p w14:paraId="642060E5">
      <w:pPr>
        <w:spacing w:line="440" w:lineRule="exact"/>
        <w:ind w:firstLine="482" w:firstLineChars="200"/>
        <w:rPr>
          <w:rFonts w:hint="eastAsia" w:ascii="宋体" w:hAnsi="宋体" w:eastAsia="宋体" w:cs="宋体"/>
          <w:b/>
          <w:color w:val="auto"/>
          <w:sz w:val="36"/>
          <w:highlight w:val="none"/>
        </w:rPr>
      </w:pPr>
      <w:r>
        <w:rPr>
          <w:rFonts w:hint="eastAsia" w:ascii="宋体" w:hAnsi="宋体" w:eastAsia="宋体" w:cs="宋体"/>
          <w:b/>
          <w:bCs/>
          <w:color w:val="auto"/>
          <w:sz w:val="24"/>
          <w:szCs w:val="22"/>
          <w:highlight w:val="none"/>
        </w:rPr>
        <w:t>1、</w:t>
      </w:r>
      <w:r>
        <w:rPr>
          <w:rFonts w:hint="eastAsia" w:ascii="宋体" w:hAnsi="宋体" w:eastAsia="宋体" w:cs="宋体"/>
          <w:b/>
          <w:bCs/>
          <w:color w:val="auto"/>
          <w:sz w:val="24"/>
          <w:szCs w:val="24"/>
          <w:highlight w:val="none"/>
        </w:rPr>
        <w:t>本项目“</w:t>
      </w:r>
      <w:r>
        <w:rPr>
          <w:rFonts w:hint="eastAsia" w:ascii="宋体" w:hAnsi="宋体" w:eastAsia="宋体" w:cs="宋体"/>
          <w:b/>
          <w:bCs/>
          <w:color w:val="auto"/>
          <w:sz w:val="24"/>
          <w:szCs w:val="24"/>
          <w:highlight w:val="none"/>
          <w:lang w:val="en-US" w:eastAsia="zh-CN"/>
        </w:rPr>
        <w:t>采购</w:t>
      </w:r>
      <w:r>
        <w:rPr>
          <w:rFonts w:hint="eastAsia" w:ascii="宋体" w:hAnsi="宋体" w:eastAsia="宋体" w:cs="宋体"/>
          <w:b/>
          <w:bCs/>
          <w:color w:val="auto"/>
          <w:sz w:val="24"/>
          <w:szCs w:val="24"/>
          <w:highlight w:val="none"/>
        </w:rPr>
        <w:t>需求”中标“★”的相关要求，为本招标文件实质性要求，必须满足，否则将作无效投标处理</w:t>
      </w:r>
      <w:r>
        <w:rPr>
          <w:rFonts w:hint="eastAsia" w:ascii="宋体" w:hAnsi="宋体" w:eastAsia="宋体" w:cs="宋体"/>
          <w:b/>
          <w:bCs/>
          <w:color w:val="auto"/>
          <w:sz w:val="24"/>
          <w:szCs w:val="24"/>
          <w:highlight w:val="none"/>
          <w:lang w:eastAsia="zh-CN"/>
        </w:rPr>
        <w:t>。</w:t>
      </w:r>
      <w:r>
        <w:rPr>
          <w:rFonts w:hint="eastAsia" w:ascii="宋体" w:hAnsi="宋体" w:eastAsia="宋体" w:cs="宋体"/>
          <w:color w:val="auto"/>
          <w:highlight w:val="none"/>
        </w:rPr>
        <w:br w:type="page"/>
      </w:r>
    </w:p>
    <w:p w14:paraId="371C5DEA">
      <w:pPr>
        <w:pStyle w:val="2"/>
        <w:spacing w:line="440" w:lineRule="exact"/>
        <w:rPr>
          <w:rFonts w:hint="eastAsia" w:ascii="宋体" w:hAnsi="宋体" w:eastAsia="宋体" w:cs="宋体"/>
          <w:color w:val="auto"/>
          <w:highlight w:val="none"/>
        </w:rPr>
      </w:pPr>
      <w:bookmarkStart w:id="280" w:name="_Toc14451"/>
      <w:r>
        <w:rPr>
          <w:rFonts w:hint="eastAsia" w:ascii="宋体" w:hAnsi="宋体" w:eastAsia="宋体" w:cs="宋体"/>
          <w:color w:val="auto"/>
          <w:highlight w:val="none"/>
        </w:rPr>
        <w:t>第五章 评审方法与评审标准</w:t>
      </w:r>
      <w:bookmarkEnd w:id="273"/>
      <w:bookmarkEnd w:id="280"/>
    </w:p>
    <w:p w14:paraId="4673668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t>一、评标方法</w:t>
      </w:r>
    </w:p>
    <w:p w14:paraId="20F38A06">
      <w:pPr>
        <w:keepNext w:val="0"/>
        <w:keepLines w:val="0"/>
        <w:pageBreakBefore w:val="0"/>
        <w:widowControl w:val="0"/>
        <w:kinsoku/>
        <w:wordWrap/>
        <w:overflowPunct/>
        <w:topLinePunct w:val="0"/>
        <w:autoSpaceDE/>
        <w:autoSpaceDN/>
        <w:bidi w:val="0"/>
        <w:adjustRightInd/>
        <w:snapToGrid/>
        <w:spacing w:line="440" w:lineRule="exact"/>
        <w:ind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评标办法采用</w:t>
      </w:r>
      <w:r>
        <w:rPr>
          <w:rFonts w:hint="eastAsia" w:ascii="宋体" w:hAnsi="宋体" w:eastAsia="宋体" w:cs="宋体"/>
          <w:b/>
          <w:color w:val="auto"/>
          <w:sz w:val="24"/>
          <w:szCs w:val="24"/>
          <w:highlight w:val="none"/>
        </w:rPr>
        <w:t>综合评分法</w:t>
      </w:r>
      <w:r>
        <w:rPr>
          <w:rFonts w:hint="eastAsia" w:ascii="宋体" w:hAnsi="宋体" w:eastAsia="宋体" w:cs="宋体"/>
          <w:color w:val="auto"/>
          <w:sz w:val="24"/>
          <w:szCs w:val="24"/>
          <w:highlight w:val="none"/>
        </w:rPr>
        <w:t>。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p>
    <w:p w14:paraId="5D2553E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t>二、评审因素、权值及评分标准</w:t>
      </w:r>
    </w:p>
    <w:p w14:paraId="33F6EB6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注：每部分的得分保留小数点后两位，合计得分保留小数点后两位。</w:t>
      </w:r>
    </w:p>
    <w:p w14:paraId="304E81D9">
      <w:pPr>
        <w:keepNext w:val="0"/>
        <w:keepLines w:val="0"/>
        <w:pageBreakBefore w:val="0"/>
        <w:widowControl w:val="0"/>
        <w:kinsoku/>
        <w:wordWrap/>
        <w:overflowPunct/>
        <w:topLinePunct w:val="0"/>
        <w:autoSpaceDE/>
        <w:autoSpaceDN/>
        <w:bidi w:val="0"/>
        <w:adjustRightInd/>
        <w:snapToGrid/>
        <w:spacing w:line="440" w:lineRule="exact"/>
        <w:ind w:firstLine="241" w:firstLineChars="1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1、报价得分25分</w:t>
      </w:r>
    </w:p>
    <w:p w14:paraId="64ABB78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bookmarkStart w:id="281" w:name="_Toc29724"/>
      <w:r>
        <w:rPr>
          <w:rFonts w:hint="eastAsia" w:ascii="宋体" w:hAnsi="宋体" w:eastAsia="宋体" w:cs="宋体"/>
          <w:color w:val="auto"/>
          <w:sz w:val="24"/>
          <w:szCs w:val="24"/>
          <w:highlight w:val="none"/>
        </w:rPr>
        <w:t>满足招标文件要求且投标报价优惠率</w:t>
      </w:r>
      <w:r>
        <w:rPr>
          <w:rFonts w:hint="eastAsia" w:ascii="宋体" w:hAnsi="宋体" w:eastAsia="宋体" w:cs="宋体"/>
          <w:b/>
          <w:bCs/>
          <w:color w:val="auto"/>
          <w:sz w:val="24"/>
          <w:szCs w:val="24"/>
          <w:highlight w:val="none"/>
          <w:lang w:val="en-US" w:eastAsia="zh-CN"/>
        </w:rPr>
        <w:t>最高</w:t>
      </w:r>
      <w:r>
        <w:rPr>
          <w:rFonts w:hint="eastAsia" w:ascii="宋体" w:hAnsi="宋体" w:eastAsia="宋体" w:cs="宋体"/>
          <w:color w:val="auto"/>
          <w:sz w:val="24"/>
          <w:szCs w:val="24"/>
          <w:highlight w:val="none"/>
        </w:rPr>
        <w:t>的价格为评标基准价，其他投标人的价格分按下列公式计算:(1-评标基准优惠率)/(1-投标优惠率)×</w:t>
      </w:r>
      <w:r>
        <w:rPr>
          <w:rFonts w:hint="eastAsia" w:ascii="宋体" w:hAnsi="宋体" w:eastAsia="宋体" w:cs="宋体"/>
          <w:color w:val="auto"/>
          <w:sz w:val="24"/>
          <w:szCs w:val="24"/>
          <w:highlight w:val="none"/>
          <w:lang w:val="en-US" w:eastAsia="zh-CN"/>
        </w:rPr>
        <w:t>25</w:t>
      </w:r>
      <w:r>
        <w:rPr>
          <w:rFonts w:hint="eastAsia" w:ascii="宋体" w:hAnsi="宋体" w:eastAsia="宋体" w:cs="宋体"/>
          <w:color w:val="auto"/>
          <w:sz w:val="24"/>
          <w:szCs w:val="24"/>
          <w:highlight w:val="none"/>
        </w:rPr>
        <w:t>分。</w:t>
      </w:r>
    </w:p>
    <w:p w14:paraId="20B5BA0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注：（一）评审过程中出现下列情形之一的，评审委员会应当启动异常低价投标（响应）审查程序：</w:t>
      </w:r>
    </w:p>
    <w:p w14:paraId="76ADBDA8">
      <w:pPr>
        <w:keepNext w:val="0"/>
        <w:keepLines w:val="0"/>
        <w:pageBreakBefore w:val="0"/>
        <w:widowControl w:val="0"/>
        <w:kinsoku/>
        <w:wordWrap/>
        <w:overflowPunct/>
        <w:topLinePunct w:val="0"/>
        <w:autoSpaceDE/>
        <w:autoSpaceDN/>
        <w:bidi w:val="0"/>
        <w:adjustRightInd/>
        <w:snapToGrid/>
        <w:spacing w:line="440" w:lineRule="exact"/>
        <w:ind w:firstLine="422" w:firstLineChars="175"/>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1．投标（响应）报价低于采购项目预算50%的，即投标（响应）报价&lt;采购项目预算×50%；</w:t>
      </w:r>
    </w:p>
    <w:p w14:paraId="0251DB8F">
      <w:pPr>
        <w:keepNext w:val="0"/>
        <w:keepLines w:val="0"/>
        <w:pageBreakBefore w:val="0"/>
        <w:widowControl w:val="0"/>
        <w:kinsoku/>
        <w:wordWrap/>
        <w:overflowPunct/>
        <w:topLinePunct w:val="0"/>
        <w:autoSpaceDE/>
        <w:autoSpaceDN/>
        <w:bidi w:val="0"/>
        <w:adjustRightInd/>
        <w:snapToGrid/>
        <w:spacing w:line="440" w:lineRule="exact"/>
        <w:ind w:firstLine="422" w:firstLineChars="175"/>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2．投标（响应）报价低于采购项目最高限价45%的，即投标（响应）报价&lt;采购项目最高限价×45%；</w:t>
      </w:r>
    </w:p>
    <w:p w14:paraId="1960A470">
      <w:pPr>
        <w:keepNext w:val="0"/>
        <w:keepLines w:val="0"/>
        <w:pageBreakBefore w:val="0"/>
        <w:widowControl w:val="0"/>
        <w:kinsoku/>
        <w:wordWrap/>
        <w:overflowPunct/>
        <w:topLinePunct w:val="0"/>
        <w:autoSpaceDE/>
        <w:autoSpaceDN/>
        <w:bidi w:val="0"/>
        <w:adjustRightInd/>
        <w:snapToGrid/>
        <w:spacing w:line="440" w:lineRule="exact"/>
        <w:ind w:firstLine="401" w:firstLineChars="175"/>
        <w:textAlignment w:val="auto"/>
        <w:rPr>
          <w:rFonts w:hint="eastAsia" w:ascii="宋体" w:hAnsi="宋体" w:eastAsia="宋体" w:cs="宋体"/>
          <w:b/>
          <w:bCs/>
          <w:color w:val="auto"/>
          <w:spacing w:val="-6"/>
          <w:sz w:val="24"/>
          <w:highlight w:val="none"/>
        </w:rPr>
      </w:pPr>
      <w:r>
        <w:rPr>
          <w:rFonts w:hint="eastAsia" w:ascii="宋体" w:hAnsi="宋体" w:eastAsia="宋体" w:cs="宋体"/>
          <w:b/>
          <w:bCs/>
          <w:color w:val="auto"/>
          <w:spacing w:val="-6"/>
          <w:sz w:val="24"/>
          <w:highlight w:val="none"/>
        </w:rPr>
        <w:t>3．评审委员会认定的</w:t>
      </w:r>
      <w:r>
        <w:rPr>
          <w:rFonts w:hint="eastAsia" w:ascii="宋体" w:hAnsi="宋体" w:eastAsia="宋体" w:cs="宋体"/>
          <w:b/>
          <w:bCs/>
          <w:color w:val="auto"/>
          <w:spacing w:val="-6"/>
          <w:sz w:val="24"/>
          <w:highlight w:val="none"/>
          <w:lang w:eastAsia="zh-CN"/>
        </w:rPr>
        <w:t>投标人</w:t>
      </w:r>
      <w:r>
        <w:rPr>
          <w:rFonts w:hint="eastAsia" w:ascii="宋体" w:hAnsi="宋体" w:eastAsia="宋体" w:cs="宋体"/>
          <w:b/>
          <w:bCs/>
          <w:color w:val="auto"/>
          <w:spacing w:val="-6"/>
          <w:sz w:val="24"/>
          <w:highlight w:val="none"/>
        </w:rPr>
        <w:t>报价过低、有可能影响产品质量或者不能诚信履约的其他情形。</w:t>
      </w:r>
    </w:p>
    <w:p w14:paraId="103D1389">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highlight w:val="none"/>
        </w:rPr>
        <w:t>（二）启动异常低价投标（响应）审查后，评审委员会应当要求相关</w:t>
      </w:r>
      <w:r>
        <w:rPr>
          <w:rFonts w:hint="eastAsia" w:ascii="宋体" w:hAnsi="宋体" w:eastAsia="宋体" w:cs="宋体"/>
          <w:b/>
          <w:bCs/>
          <w:color w:val="auto"/>
          <w:sz w:val="24"/>
          <w:highlight w:val="none"/>
          <w:lang w:eastAsia="zh-CN"/>
        </w:rPr>
        <w:t>投标人</w:t>
      </w:r>
      <w:r>
        <w:rPr>
          <w:rFonts w:hint="eastAsia" w:ascii="宋体" w:hAnsi="宋体" w:eastAsia="宋体" w:cs="宋体"/>
          <w:b/>
          <w:bCs/>
          <w:color w:val="auto"/>
          <w:sz w:val="24"/>
          <w:highlight w:val="none"/>
        </w:rPr>
        <w:t>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w:t>
      </w:r>
      <w:r>
        <w:rPr>
          <w:rFonts w:hint="eastAsia" w:ascii="宋体" w:hAnsi="宋体" w:eastAsia="宋体" w:cs="宋体"/>
          <w:b/>
          <w:bCs/>
          <w:color w:val="auto"/>
          <w:sz w:val="24"/>
          <w:highlight w:val="none"/>
          <w:lang w:eastAsia="zh-CN"/>
        </w:rPr>
        <w:t>投标人</w:t>
      </w:r>
      <w:r>
        <w:rPr>
          <w:rFonts w:hint="eastAsia" w:ascii="宋体" w:hAnsi="宋体" w:eastAsia="宋体" w:cs="宋体"/>
          <w:b/>
          <w:bCs/>
          <w:color w:val="auto"/>
          <w:sz w:val="24"/>
          <w:highlight w:val="none"/>
        </w:rPr>
        <w:t>报价合理性进行判断。投标（响应）</w:t>
      </w:r>
      <w:r>
        <w:rPr>
          <w:rFonts w:hint="eastAsia" w:ascii="宋体" w:hAnsi="宋体" w:eastAsia="宋体" w:cs="宋体"/>
          <w:b/>
          <w:bCs/>
          <w:color w:val="auto"/>
          <w:sz w:val="24"/>
          <w:highlight w:val="none"/>
          <w:lang w:eastAsia="zh-CN"/>
        </w:rPr>
        <w:t>投标人</w:t>
      </w:r>
      <w:r>
        <w:rPr>
          <w:rFonts w:hint="eastAsia" w:ascii="宋体" w:hAnsi="宋体" w:eastAsia="宋体" w:cs="宋体"/>
          <w:b/>
          <w:bCs/>
          <w:color w:val="auto"/>
          <w:sz w:val="24"/>
          <w:highlight w:val="none"/>
        </w:rPr>
        <w:t>不提供书面说明、证明材料，或者提供的书面说明、证明材料不能证明其报价合理性的，评审委员会应当将其作为无效投标（响应）处理。审查相关情况应当在评审报告中进行记录。</w:t>
      </w:r>
    </w:p>
    <w:p w14:paraId="7C1A6564">
      <w:pPr>
        <w:keepNext w:val="0"/>
        <w:keepLines w:val="0"/>
        <w:pageBreakBefore w:val="0"/>
        <w:widowControl w:val="0"/>
        <w:kinsoku/>
        <w:wordWrap/>
        <w:overflowPunct/>
        <w:topLinePunct w:val="0"/>
        <w:autoSpaceDE/>
        <w:autoSpaceDN/>
        <w:bidi w:val="0"/>
        <w:adjustRightInd/>
        <w:snapToGrid/>
        <w:spacing w:line="440" w:lineRule="exact"/>
        <w:ind w:firstLine="241" w:firstLineChars="1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2、服务质量保证</w:t>
      </w:r>
      <w:r>
        <w:rPr>
          <w:rFonts w:hint="eastAsia" w:ascii="宋体" w:hAnsi="宋体" w:eastAsia="宋体" w:cs="宋体"/>
          <w:b/>
          <w:color w:val="auto"/>
          <w:sz w:val="24"/>
          <w:szCs w:val="24"/>
          <w:highlight w:val="none"/>
          <w:lang w:val="en-US" w:eastAsia="zh-CN"/>
        </w:rPr>
        <w:t>45</w:t>
      </w:r>
      <w:r>
        <w:rPr>
          <w:rFonts w:hint="eastAsia" w:ascii="宋体" w:hAnsi="宋体" w:eastAsia="宋体" w:cs="宋体"/>
          <w:b/>
          <w:color w:val="auto"/>
          <w:sz w:val="24"/>
          <w:szCs w:val="24"/>
          <w:highlight w:val="none"/>
        </w:rPr>
        <w:t>分</w:t>
      </w:r>
    </w:p>
    <w:tbl>
      <w:tblPr>
        <w:tblStyle w:val="5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742"/>
        <w:gridCol w:w="1667"/>
        <w:gridCol w:w="777"/>
        <w:gridCol w:w="6649"/>
      </w:tblGrid>
      <w:tr w14:paraId="79885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12" w:hRule="atLeast"/>
          <w:jc w:val="center"/>
        </w:trPr>
        <w:tc>
          <w:tcPr>
            <w:tcW w:w="742" w:type="dxa"/>
            <w:shd w:val="clear" w:color="000000" w:fill="FFFFFF"/>
            <w:noWrap w:val="0"/>
            <w:tcMar>
              <w:left w:w="108" w:type="dxa"/>
              <w:right w:w="108" w:type="dxa"/>
            </w:tcMar>
            <w:vAlign w:val="center"/>
          </w:tcPr>
          <w:p w14:paraId="17ABBB64">
            <w:pPr>
              <w:keepNext w:val="0"/>
              <w:keepLines w:val="0"/>
              <w:pageBreakBefore w:val="0"/>
              <w:kinsoku/>
              <w:wordWrap/>
              <w:overflowPunct/>
              <w:topLinePunct w:val="0"/>
              <w:bidi w:val="0"/>
              <w:adjustRightInd/>
              <w:snapToGrid/>
              <w:spacing w:line="400" w:lineRule="exact"/>
              <w:jc w:val="center"/>
              <w:textAlignment w:val="auto"/>
              <w:rPr>
                <w:rFonts w:hint="eastAsia" w:ascii="宋体" w:hAnsi="宋体" w:eastAsia="宋体" w:cs="宋体"/>
                <w:highlight w:val="none"/>
              </w:rPr>
            </w:pPr>
            <w:r>
              <w:rPr>
                <w:rFonts w:hint="eastAsia" w:ascii="宋体" w:hAnsi="宋体" w:eastAsia="宋体" w:cs="宋体"/>
                <w:sz w:val="24"/>
                <w:highlight w:val="none"/>
              </w:rPr>
              <w:t>序号</w:t>
            </w:r>
          </w:p>
        </w:tc>
        <w:tc>
          <w:tcPr>
            <w:tcW w:w="1667" w:type="dxa"/>
            <w:shd w:val="clear" w:color="000000" w:fill="FFFFFF"/>
            <w:noWrap w:val="0"/>
            <w:tcMar>
              <w:left w:w="108" w:type="dxa"/>
              <w:right w:w="108" w:type="dxa"/>
            </w:tcMar>
            <w:vAlign w:val="center"/>
          </w:tcPr>
          <w:p w14:paraId="11FA7AC9">
            <w:pPr>
              <w:keepNext w:val="0"/>
              <w:keepLines w:val="0"/>
              <w:pageBreakBefore w:val="0"/>
              <w:kinsoku/>
              <w:wordWrap/>
              <w:overflowPunct/>
              <w:topLinePunct w:val="0"/>
              <w:bidi w:val="0"/>
              <w:adjustRightInd/>
              <w:snapToGrid/>
              <w:spacing w:line="400" w:lineRule="exact"/>
              <w:jc w:val="center"/>
              <w:textAlignment w:val="auto"/>
              <w:rPr>
                <w:rFonts w:hint="eastAsia" w:ascii="宋体" w:hAnsi="宋体" w:eastAsia="宋体" w:cs="宋体"/>
                <w:highlight w:val="none"/>
              </w:rPr>
            </w:pPr>
            <w:r>
              <w:rPr>
                <w:rFonts w:hint="eastAsia" w:ascii="宋体" w:hAnsi="宋体" w:eastAsia="宋体" w:cs="宋体"/>
                <w:sz w:val="24"/>
                <w:highlight w:val="none"/>
              </w:rPr>
              <w:t>评审因素</w:t>
            </w:r>
          </w:p>
        </w:tc>
        <w:tc>
          <w:tcPr>
            <w:tcW w:w="777" w:type="dxa"/>
            <w:shd w:val="clear" w:color="000000" w:fill="FFFFFF"/>
            <w:noWrap w:val="0"/>
            <w:tcMar>
              <w:left w:w="108" w:type="dxa"/>
              <w:right w:w="108" w:type="dxa"/>
            </w:tcMar>
            <w:vAlign w:val="center"/>
          </w:tcPr>
          <w:p w14:paraId="56B3813F">
            <w:pPr>
              <w:keepNext w:val="0"/>
              <w:keepLines w:val="0"/>
              <w:pageBreakBefore w:val="0"/>
              <w:kinsoku/>
              <w:wordWrap/>
              <w:overflowPunct/>
              <w:topLinePunct w:val="0"/>
              <w:bidi w:val="0"/>
              <w:adjustRightInd/>
              <w:snapToGrid/>
              <w:spacing w:line="400" w:lineRule="exact"/>
              <w:jc w:val="center"/>
              <w:textAlignment w:val="auto"/>
              <w:rPr>
                <w:rFonts w:hint="eastAsia" w:ascii="宋体" w:hAnsi="宋体" w:eastAsia="宋体" w:cs="宋体"/>
                <w:highlight w:val="none"/>
              </w:rPr>
            </w:pPr>
            <w:r>
              <w:rPr>
                <w:rFonts w:hint="eastAsia" w:ascii="宋体" w:hAnsi="宋体" w:eastAsia="宋体" w:cs="宋体"/>
                <w:sz w:val="24"/>
                <w:highlight w:val="none"/>
              </w:rPr>
              <w:t>权值</w:t>
            </w:r>
          </w:p>
        </w:tc>
        <w:tc>
          <w:tcPr>
            <w:tcW w:w="6649" w:type="dxa"/>
            <w:shd w:val="clear" w:color="000000" w:fill="FFFFFF"/>
            <w:noWrap w:val="0"/>
            <w:tcMar>
              <w:left w:w="108" w:type="dxa"/>
              <w:right w:w="108" w:type="dxa"/>
            </w:tcMar>
            <w:vAlign w:val="center"/>
          </w:tcPr>
          <w:p w14:paraId="120E555C">
            <w:pPr>
              <w:keepNext w:val="0"/>
              <w:keepLines w:val="0"/>
              <w:pageBreakBefore w:val="0"/>
              <w:kinsoku/>
              <w:wordWrap/>
              <w:overflowPunct/>
              <w:topLinePunct w:val="0"/>
              <w:bidi w:val="0"/>
              <w:adjustRightInd/>
              <w:snapToGrid/>
              <w:spacing w:line="400" w:lineRule="exact"/>
              <w:jc w:val="center"/>
              <w:textAlignment w:val="auto"/>
              <w:rPr>
                <w:rFonts w:hint="eastAsia" w:ascii="宋体" w:hAnsi="宋体" w:eastAsia="宋体" w:cs="宋体"/>
                <w:highlight w:val="none"/>
              </w:rPr>
            </w:pPr>
            <w:r>
              <w:rPr>
                <w:rFonts w:hint="eastAsia" w:ascii="宋体" w:hAnsi="宋体" w:eastAsia="宋体" w:cs="宋体"/>
                <w:sz w:val="24"/>
                <w:highlight w:val="none"/>
              </w:rPr>
              <w:t>评分标准</w:t>
            </w:r>
          </w:p>
        </w:tc>
      </w:tr>
      <w:tr w14:paraId="2FE24DFC">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 w:type="dxa"/>
            <w:bottom w:w="0" w:type="dxa"/>
            <w:right w:w="10" w:type="dxa"/>
          </w:tblCellMar>
        </w:tblPrEx>
        <w:trPr>
          <w:trHeight w:val="636"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7BAC0441">
            <w:pPr>
              <w:keepNext w:val="0"/>
              <w:keepLines w:val="0"/>
              <w:pageBreakBefore w:val="0"/>
              <w:kinsoku/>
              <w:wordWrap/>
              <w:overflowPunct/>
              <w:topLinePunct w:val="0"/>
              <w:bidi w:val="0"/>
              <w:adjustRightInd/>
              <w:snapToGrid/>
              <w:spacing w:line="400" w:lineRule="exact"/>
              <w:jc w:val="center"/>
              <w:textAlignment w:val="auto"/>
              <w:rPr>
                <w:rFonts w:hint="eastAsia" w:ascii="宋体" w:hAnsi="宋体" w:eastAsia="宋体" w:cs="宋体"/>
                <w:sz w:val="24"/>
                <w:highlight w:val="none"/>
              </w:rPr>
            </w:pPr>
            <w:r>
              <w:rPr>
                <w:rFonts w:hint="eastAsia" w:ascii="宋体" w:hAnsi="宋体" w:eastAsia="宋体" w:cs="宋体"/>
                <w:sz w:val="24"/>
                <w:highlight w:val="none"/>
              </w:rPr>
              <w:t>1</w:t>
            </w:r>
          </w:p>
        </w:tc>
        <w:tc>
          <w:tcPr>
            <w:tcW w:w="1667"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5DBE9FBD">
            <w:pPr>
              <w:keepNext w:val="0"/>
              <w:keepLines w:val="0"/>
              <w:pageBreakBefore w:val="0"/>
              <w:kinsoku/>
              <w:wordWrap/>
              <w:overflowPunct/>
              <w:topLinePunct w:val="0"/>
              <w:bidi w:val="0"/>
              <w:adjustRightInd/>
              <w:snapToGrid/>
              <w:spacing w:line="400" w:lineRule="exact"/>
              <w:jc w:val="center"/>
              <w:textAlignment w:val="auto"/>
              <w:rPr>
                <w:rFonts w:hint="eastAsia" w:ascii="宋体" w:hAnsi="宋体" w:eastAsia="宋体" w:cs="宋体"/>
                <w:sz w:val="24"/>
                <w:szCs w:val="22"/>
                <w:highlight w:val="none"/>
              </w:rPr>
            </w:pPr>
            <w:r>
              <w:rPr>
                <w:rFonts w:hint="eastAsia" w:ascii="宋体" w:hAnsi="宋体" w:eastAsia="宋体" w:cs="宋体"/>
                <w:sz w:val="24"/>
                <w:szCs w:val="24"/>
                <w:highlight w:val="none"/>
              </w:rPr>
              <w:t>服务响应情况</w:t>
            </w:r>
          </w:p>
        </w:tc>
        <w:tc>
          <w:tcPr>
            <w:tcW w:w="777"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36887B61">
            <w:pPr>
              <w:keepNext w:val="0"/>
              <w:keepLines w:val="0"/>
              <w:pageBreakBefore w:val="0"/>
              <w:kinsoku/>
              <w:wordWrap/>
              <w:overflowPunct/>
              <w:topLinePunct w:val="0"/>
              <w:bidi w:val="0"/>
              <w:adjustRightInd/>
              <w:snapToGrid/>
              <w:spacing w:line="400" w:lineRule="exact"/>
              <w:jc w:val="center"/>
              <w:textAlignment w:val="auto"/>
              <w:rPr>
                <w:rFonts w:hint="eastAsia" w:ascii="宋体" w:hAnsi="宋体" w:eastAsia="宋体" w:cs="宋体"/>
                <w:sz w:val="24"/>
                <w:szCs w:val="22"/>
                <w:highlight w:val="none"/>
              </w:rPr>
            </w:pPr>
            <w:r>
              <w:rPr>
                <w:rFonts w:hint="eastAsia" w:ascii="宋体" w:hAnsi="宋体" w:eastAsia="宋体" w:cs="宋体"/>
                <w:sz w:val="24"/>
                <w:szCs w:val="24"/>
                <w:highlight w:val="none"/>
                <w:lang w:val="en-US" w:eastAsia="zh-CN"/>
              </w:rPr>
              <w:t>12</w:t>
            </w:r>
            <w:r>
              <w:rPr>
                <w:rFonts w:hint="eastAsia" w:ascii="宋体" w:hAnsi="宋体" w:eastAsia="宋体" w:cs="宋体"/>
                <w:sz w:val="24"/>
                <w:szCs w:val="24"/>
                <w:highlight w:val="none"/>
              </w:rPr>
              <w:t>分</w:t>
            </w:r>
          </w:p>
        </w:tc>
        <w:tc>
          <w:tcPr>
            <w:tcW w:w="6649"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73EC2863">
            <w:pPr>
              <w:keepNext w:val="0"/>
              <w:keepLines w:val="0"/>
              <w:pageBreakBefore w:val="0"/>
              <w:kinsoku/>
              <w:wordWrap/>
              <w:overflowPunct/>
              <w:topLinePunct w:val="0"/>
              <w:bidi w:val="0"/>
              <w:adjustRightInd/>
              <w:snapToGrid/>
              <w:spacing w:line="400" w:lineRule="exact"/>
              <w:textAlignment w:val="auto"/>
              <w:rPr>
                <w:rFonts w:hint="eastAsia" w:ascii="宋体" w:hAnsi="宋体" w:eastAsia="宋体" w:cs="宋体"/>
                <w:sz w:val="24"/>
                <w:highlight w:val="none"/>
              </w:rPr>
            </w:pPr>
            <w:r>
              <w:rPr>
                <w:rFonts w:hint="eastAsia" w:ascii="宋体" w:hAnsi="宋体" w:eastAsia="宋体" w:cs="宋体"/>
                <w:sz w:val="24"/>
                <w:highlight w:val="none"/>
              </w:rPr>
              <w:t>投标人承诺提供的服务全部满足招标文件要求（</w:t>
            </w:r>
            <w:r>
              <w:rPr>
                <w:rFonts w:hint="eastAsia" w:ascii="宋体" w:hAnsi="宋体" w:eastAsia="宋体" w:cs="宋体"/>
                <w:sz w:val="24"/>
                <w:highlight w:val="none"/>
                <w:lang w:val="en-US" w:eastAsia="zh-CN"/>
              </w:rPr>
              <w:t>共48</w:t>
            </w:r>
            <w:r>
              <w:rPr>
                <w:rFonts w:hint="eastAsia" w:ascii="宋体" w:hAnsi="宋体" w:eastAsia="宋体" w:cs="宋体"/>
                <w:sz w:val="24"/>
                <w:highlight w:val="none"/>
              </w:rPr>
              <w:t>条）的得基本分</w:t>
            </w:r>
            <w:r>
              <w:rPr>
                <w:rFonts w:hint="eastAsia" w:ascii="宋体" w:hAnsi="宋体" w:eastAsia="宋体" w:cs="宋体"/>
                <w:sz w:val="24"/>
                <w:highlight w:val="none"/>
                <w:lang w:val="en-US" w:eastAsia="zh-CN"/>
              </w:rPr>
              <w:t>12</w:t>
            </w:r>
            <w:r>
              <w:rPr>
                <w:rFonts w:hint="eastAsia" w:ascii="宋体" w:hAnsi="宋体" w:eastAsia="宋体" w:cs="宋体"/>
                <w:sz w:val="24"/>
                <w:highlight w:val="none"/>
              </w:rPr>
              <w:t>分；有负偏离条款的，每条扣</w:t>
            </w:r>
            <w:r>
              <w:rPr>
                <w:rFonts w:hint="eastAsia" w:ascii="宋体" w:hAnsi="宋体" w:eastAsia="宋体" w:cs="宋体"/>
                <w:sz w:val="24"/>
                <w:highlight w:val="none"/>
                <w:lang w:val="en-US" w:eastAsia="zh-CN"/>
              </w:rPr>
              <w:t>0.25</w:t>
            </w:r>
            <w:r>
              <w:rPr>
                <w:rFonts w:hint="eastAsia" w:ascii="宋体" w:hAnsi="宋体" w:eastAsia="宋体" w:cs="宋体"/>
                <w:sz w:val="24"/>
                <w:highlight w:val="none"/>
              </w:rPr>
              <w:t>分。</w:t>
            </w:r>
          </w:p>
        </w:tc>
      </w:tr>
      <w:tr w14:paraId="715CD984">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 w:type="dxa"/>
            <w:bottom w:w="0" w:type="dxa"/>
            <w:right w:w="10" w:type="dxa"/>
          </w:tblCellMar>
        </w:tblPrEx>
        <w:trPr>
          <w:trHeight w:val="1064"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7C08F707">
            <w:pPr>
              <w:keepNext w:val="0"/>
              <w:keepLines w:val="0"/>
              <w:pageBreakBefore w:val="0"/>
              <w:kinsoku/>
              <w:wordWrap/>
              <w:overflowPunct/>
              <w:topLinePunct w:val="0"/>
              <w:bidi w:val="0"/>
              <w:adjustRightInd/>
              <w:snapToGrid/>
              <w:spacing w:line="400" w:lineRule="exact"/>
              <w:jc w:val="center"/>
              <w:textAlignment w:val="auto"/>
              <w:rPr>
                <w:rFonts w:hint="eastAsia" w:ascii="宋体" w:hAnsi="宋体" w:eastAsia="宋体" w:cs="宋体"/>
                <w:sz w:val="24"/>
                <w:highlight w:val="none"/>
              </w:rPr>
            </w:pPr>
            <w:r>
              <w:rPr>
                <w:rFonts w:hint="eastAsia" w:ascii="宋体" w:hAnsi="宋体" w:eastAsia="宋体" w:cs="宋体"/>
                <w:sz w:val="24"/>
                <w:highlight w:val="none"/>
              </w:rPr>
              <w:t>2</w:t>
            </w:r>
          </w:p>
        </w:tc>
        <w:tc>
          <w:tcPr>
            <w:tcW w:w="1667"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573E7B30">
            <w:pPr>
              <w:keepNext w:val="0"/>
              <w:keepLines w:val="0"/>
              <w:pageBreakBefore w:val="0"/>
              <w:kinsoku/>
              <w:wordWrap/>
              <w:overflowPunct/>
              <w:topLinePunct w:val="0"/>
              <w:bidi w:val="0"/>
              <w:adjustRightInd/>
              <w:snapToGrid/>
              <w:spacing w:line="400" w:lineRule="exact"/>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管网疏通方案</w:t>
            </w:r>
          </w:p>
        </w:tc>
        <w:tc>
          <w:tcPr>
            <w:tcW w:w="777"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6CFCD50F">
            <w:pPr>
              <w:keepNext w:val="0"/>
              <w:keepLines w:val="0"/>
              <w:pageBreakBefore w:val="0"/>
              <w:kinsoku/>
              <w:wordWrap/>
              <w:overflowPunct/>
              <w:topLinePunct w:val="0"/>
              <w:bidi w:val="0"/>
              <w:adjustRightInd/>
              <w:snapToGrid/>
              <w:spacing w:line="40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分</w:t>
            </w:r>
          </w:p>
        </w:tc>
        <w:tc>
          <w:tcPr>
            <w:tcW w:w="6649"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4521A56B">
            <w:pPr>
              <w:keepNext w:val="0"/>
              <w:keepLines w:val="0"/>
              <w:pageBreakBefore w:val="0"/>
              <w:kinsoku/>
              <w:wordWrap/>
              <w:overflowPunct/>
              <w:topLinePunct w:val="0"/>
              <w:autoSpaceDE w:val="0"/>
              <w:autoSpaceDN w:val="0"/>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根据投标人提供的</w:t>
            </w:r>
            <w:r>
              <w:rPr>
                <w:rFonts w:hint="eastAsia" w:ascii="宋体" w:hAnsi="宋体" w:eastAsia="宋体" w:cs="宋体"/>
                <w:b/>
                <w:bCs/>
                <w:sz w:val="24"/>
                <w:szCs w:val="24"/>
                <w:highlight w:val="none"/>
                <w:lang w:val="en-US" w:eastAsia="zh-CN"/>
              </w:rPr>
              <w:t>管网疏通方案</w:t>
            </w:r>
            <w:r>
              <w:rPr>
                <w:rFonts w:hint="eastAsia" w:ascii="宋体" w:hAnsi="宋体" w:eastAsia="宋体" w:cs="宋体"/>
                <w:color w:val="auto"/>
                <w:sz w:val="24"/>
                <w:szCs w:val="24"/>
                <w:highlight w:val="none"/>
              </w:rPr>
              <w:t>进行综合评定：</w:t>
            </w:r>
            <w:r>
              <w:rPr>
                <w:rFonts w:hint="eastAsia" w:ascii="宋体" w:hAnsi="宋体" w:eastAsia="宋体" w:cs="宋体"/>
                <w:color w:val="auto"/>
                <w:sz w:val="24"/>
                <w:szCs w:val="24"/>
                <w:highlight w:val="none"/>
                <w:lang w:val="en-US" w:eastAsia="zh-CN"/>
              </w:rPr>
              <w:t>方案</w:t>
            </w:r>
            <w:r>
              <w:rPr>
                <w:rFonts w:hint="eastAsia" w:ascii="宋体" w:hAnsi="宋体" w:eastAsia="宋体" w:cs="宋体"/>
                <w:color w:val="auto"/>
                <w:sz w:val="24"/>
                <w:szCs w:val="24"/>
                <w:highlight w:val="none"/>
              </w:rPr>
              <w:t>科学合理、切实可行、全面完善的得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分；方案笼统但基本可行的得1</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分；未提供或者严重缺失的得0分。</w:t>
            </w:r>
          </w:p>
        </w:tc>
      </w:tr>
      <w:tr w14:paraId="76949D92">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 w:type="dxa"/>
            <w:bottom w:w="0" w:type="dxa"/>
            <w:right w:w="10" w:type="dxa"/>
          </w:tblCellMar>
        </w:tblPrEx>
        <w:trPr>
          <w:trHeight w:val="711"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047E66D2">
            <w:pPr>
              <w:keepNext w:val="0"/>
              <w:keepLines w:val="0"/>
              <w:pageBreakBefore w:val="0"/>
              <w:kinsoku/>
              <w:wordWrap/>
              <w:overflowPunct/>
              <w:topLinePunct w:val="0"/>
              <w:bidi w:val="0"/>
              <w:adjustRightInd/>
              <w:snapToGrid/>
              <w:spacing w:line="40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1667"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059CD7C0">
            <w:pPr>
              <w:keepNext w:val="0"/>
              <w:keepLines w:val="0"/>
              <w:pageBreakBefore w:val="0"/>
              <w:kinsoku/>
              <w:wordWrap/>
              <w:overflowPunct/>
              <w:topLinePunct w:val="0"/>
              <w:bidi w:val="0"/>
              <w:adjustRightInd/>
              <w:snapToGrid/>
              <w:spacing w:line="40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管网</w:t>
            </w:r>
            <w:r>
              <w:rPr>
                <w:rFonts w:hint="eastAsia" w:ascii="宋体" w:hAnsi="宋体" w:eastAsia="宋体" w:cs="宋体"/>
                <w:sz w:val="24"/>
                <w:szCs w:val="20"/>
                <w:highlight w:val="none"/>
              </w:rPr>
              <w:t>养护方案</w:t>
            </w:r>
          </w:p>
        </w:tc>
        <w:tc>
          <w:tcPr>
            <w:tcW w:w="777"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18E09CA0">
            <w:pPr>
              <w:keepNext w:val="0"/>
              <w:keepLines w:val="0"/>
              <w:pageBreakBefore w:val="0"/>
              <w:kinsoku/>
              <w:wordWrap/>
              <w:overflowPunct/>
              <w:topLinePunct w:val="0"/>
              <w:bidi w:val="0"/>
              <w:adjustRightInd/>
              <w:snapToGrid/>
              <w:spacing w:line="400" w:lineRule="exact"/>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3分</w:t>
            </w:r>
          </w:p>
        </w:tc>
        <w:tc>
          <w:tcPr>
            <w:tcW w:w="6649"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7752A6C9">
            <w:pPr>
              <w:keepNext w:val="0"/>
              <w:keepLines w:val="0"/>
              <w:pageBreakBefore w:val="0"/>
              <w:kinsoku/>
              <w:wordWrap/>
              <w:overflowPunct/>
              <w:topLinePunct w:val="0"/>
              <w:autoSpaceDE w:val="0"/>
              <w:autoSpaceDN w:val="0"/>
              <w:bidi w:val="0"/>
              <w:adjustRightInd/>
              <w:snapToGrid/>
              <w:spacing w:line="400" w:lineRule="exact"/>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rPr>
              <w:t>根据投标人提供的</w:t>
            </w:r>
            <w:r>
              <w:rPr>
                <w:rFonts w:hint="eastAsia" w:ascii="宋体" w:hAnsi="宋体" w:eastAsia="宋体" w:cs="宋体"/>
                <w:b/>
                <w:bCs/>
                <w:sz w:val="24"/>
                <w:szCs w:val="24"/>
                <w:highlight w:val="none"/>
                <w:lang w:val="en-US" w:eastAsia="zh-CN"/>
              </w:rPr>
              <w:t>管网养护方案</w:t>
            </w:r>
            <w:r>
              <w:rPr>
                <w:rFonts w:hint="eastAsia" w:ascii="宋体" w:hAnsi="宋体" w:eastAsia="宋体" w:cs="宋体"/>
                <w:color w:val="auto"/>
                <w:sz w:val="24"/>
                <w:szCs w:val="24"/>
                <w:highlight w:val="none"/>
              </w:rPr>
              <w:t>进行综合评定：</w:t>
            </w:r>
            <w:r>
              <w:rPr>
                <w:rFonts w:hint="eastAsia" w:ascii="宋体" w:hAnsi="宋体" w:eastAsia="宋体" w:cs="宋体"/>
                <w:color w:val="auto"/>
                <w:sz w:val="24"/>
                <w:szCs w:val="24"/>
                <w:highlight w:val="none"/>
                <w:lang w:val="en-US" w:eastAsia="zh-CN"/>
              </w:rPr>
              <w:t>方案</w:t>
            </w:r>
            <w:r>
              <w:rPr>
                <w:rFonts w:hint="eastAsia" w:ascii="宋体" w:hAnsi="宋体" w:eastAsia="宋体" w:cs="宋体"/>
                <w:color w:val="auto"/>
                <w:sz w:val="24"/>
                <w:szCs w:val="24"/>
                <w:highlight w:val="none"/>
              </w:rPr>
              <w:t>科学合理、切实可行、全面完善的得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分；方案笼统但基本可行的得1</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分；未提供或者严重缺失的得0分。</w:t>
            </w:r>
          </w:p>
        </w:tc>
      </w:tr>
      <w:tr w14:paraId="567DF1D5">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 w:type="dxa"/>
            <w:bottom w:w="0" w:type="dxa"/>
            <w:right w:w="10" w:type="dxa"/>
          </w:tblCellMar>
        </w:tblPrEx>
        <w:trPr>
          <w:trHeight w:val="711"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1006F5B0">
            <w:pPr>
              <w:keepNext w:val="0"/>
              <w:keepLines w:val="0"/>
              <w:pageBreakBefore w:val="0"/>
              <w:kinsoku/>
              <w:wordWrap/>
              <w:overflowPunct/>
              <w:topLinePunct w:val="0"/>
              <w:bidi w:val="0"/>
              <w:adjustRightInd/>
              <w:snapToGrid/>
              <w:spacing w:line="400" w:lineRule="exact"/>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w:t>
            </w:r>
          </w:p>
        </w:tc>
        <w:tc>
          <w:tcPr>
            <w:tcW w:w="1667"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3F7E3FFA">
            <w:pPr>
              <w:keepNext w:val="0"/>
              <w:keepLines w:val="0"/>
              <w:pageBreakBefore w:val="0"/>
              <w:kinsoku/>
              <w:wordWrap/>
              <w:overflowPunct/>
              <w:topLinePunct w:val="0"/>
              <w:bidi w:val="0"/>
              <w:adjustRightInd/>
              <w:snapToGrid/>
              <w:spacing w:line="40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雨污分流改造</w:t>
            </w:r>
            <w:r>
              <w:rPr>
                <w:rFonts w:hint="eastAsia" w:ascii="宋体" w:hAnsi="宋体" w:eastAsia="宋体" w:cs="宋体"/>
                <w:sz w:val="24"/>
                <w:szCs w:val="20"/>
                <w:highlight w:val="none"/>
              </w:rPr>
              <w:t>方案</w:t>
            </w:r>
          </w:p>
        </w:tc>
        <w:tc>
          <w:tcPr>
            <w:tcW w:w="777"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794C9434">
            <w:pPr>
              <w:keepNext w:val="0"/>
              <w:keepLines w:val="0"/>
              <w:pageBreakBefore w:val="0"/>
              <w:kinsoku/>
              <w:wordWrap/>
              <w:overflowPunct/>
              <w:topLinePunct w:val="0"/>
              <w:bidi w:val="0"/>
              <w:adjustRightInd/>
              <w:snapToGrid/>
              <w:spacing w:line="400" w:lineRule="exact"/>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3分</w:t>
            </w:r>
          </w:p>
        </w:tc>
        <w:tc>
          <w:tcPr>
            <w:tcW w:w="6649"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69EBCF30">
            <w:pPr>
              <w:keepNext w:val="0"/>
              <w:keepLines w:val="0"/>
              <w:pageBreakBefore w:val="0"/>
              <w:kinsoku/>
              <w:wordWrap/>
              <w:overflowPunct/>
              <w:topLinePunct w:val="0"/>
              <w:autoSpaceDE w:val="0"/>
              <w:autoSpaceDN w:val="0"/>
              <w:bidi w:val="0"/>
              <w:adjustRightInd/>
              <w:snapToGrid/>
              <w:spacing w:line="400" w:lineRule="exact"/>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rPr>
              <w:t>根据投标人提供的</w:t>
            </w:r>
            <w:r>
              <w:rPr>
                <w:rFonts w:hint="eastAsia" w:ascii="宋体" w:hAnsi="宋体" w:eastAsia="宋体" w:cs="宋体"/>
                <w:b/>
                <w:bCs/>
                <w:sz w:val="24"/>
                <w:szCs w:val="24"/>
                <w:highlight w:val="none"/>
                <w:lang w:val="en-US" w:eastAsia="zh-CN"/>
              </w:rPr>
              <w:t>雨污分流改造方案</w:t>
            </w:r>
            <w:r>
              <w:rPr>
                <w:rFonts w:hint="eastAsia" w:ascii="宋体" w:hAnsi="宋体" w:eastAsia="宋体" w:cs="宋体"/>
                <w:color w:val="auto"/>
                <w:sz w:val="24"/>
                <w:szCs w:val="24"/>
                <w:highlight w:val="none"/>
              </w:rPr>
              <w:t>进行综合评定：</w:t>
            </w:r>
            <w:r>
              <w:rPr>
                <w:rFonts w:hint="eastAsia" w:ascii="宋体" w:hAnsi="宋体" w:eastAsia="宋体" w:cs="宋体"/>
                <w:color w:val="auto"/>
                <w:sz w:val="24"/>
                <w:szCs w:val="24"/>
                <w:highlight w:val="none"/>
                <w:lang w:val="en-US" w:eastAsia="zh-CN"/>
              </w:rPr>
              <w:t>方案</w:t>
            </w:r>
            <w:r>
              <w:rPr>
                <w:rFonts w:hint="eastAsia" w:ascii="宋体" w:hAnsi="宋体" w:eastAsia="宋体" w:cs="宋体"/>
                <w:color w:val="auto"/>
                <w:sz w:val="24"/>
                <w:szCs w:val="24"/>
                <w:highlight w:val="none"/>
              </w:rPr>
              <w:t>科学合理、切实可行、全面完善的得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分；方案笼统但基本可行的得1</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分；未提供或者严重缺失的得0分。</w:t>
            </w:r>
          </w:p>
        </w:tc>
      </w:tr>
      <w:tr w14:paraId="628FE7A6">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 w:type="dxa"/>
            <w:bottom w:w="0" w:type="dxa"/>
            <w:right w:w="10" w:type="dxa"/>
          </w:tblCellMar>
        </w:tblPrEx>
        <w:trPr>
          <w:trHeight w:val="711"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14E0DE43">
            <w:pPr>
              <w:keepNext w:val="0"/>
              <w:keepLines w:val="0"/>
              <w:pageBreakBefore w:val="0"/>
              <w:kinsoku/>
              <w:wordWrap/>
              <w:overflowPunct/>
              <w:topLinePunct w:val="0"/>
              <w:bidi w:val="0"/>
              <w:adjustRightInd/>
              <w:snapToGrid/>
              <w:spacing w:line="400" w:lineRule="exact"/>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w:t>
            </w:r>
          </w:p>
        </w:tc>
        <w:tc>
          <w:tcPr>
            <w:tcW w:w="1667"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102009D4">
            <w:pPr>
              <w:keepNext w:val="0"/>
              <w:keepLines w:val="0"/>
              <w:pageBreakBefore w:val="0"/>
              <w:kinsoku/>
              <w:wordWrap/>
              <w:overflowPunct/>
              <w:topLinePunct w:val="0"/>
              <w:bidi w:val="0"/>
              <w:adjustRightInd/>
              <w:snapToGrid/>
              <w:spacing w:line="40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管网养护修复施工</w:t>
            </w:r>
            <w:r>
              <w:rPr>
                <w:rFonts w:hint="eastAsia" w:ascii="宋体" w:hAnsi="宋体" w:eastAsia="宋体" w:cs="宋体"/>
                <w:sz w:val="24"/>
                <w:szCs w:val="20"/>
                <w:highlight w:val="none"/>
              </w:rPr>
              <w:t>方案</w:t>
            </w:r>
          </w:p>
        </w:tc>
        <w:tc>
          <w:tcPr>
            <w:tcW w:w="777"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1626BD90">
            <w:pPr>
              <w:keepNext w:val="0"/>
              <w:keepLines w:val="0"/>
              <w:pageBreakBefore w:val="0"/>
              <w:kinsoku/>
              <w:wordWrap/>
              <w:overflowPunct/>
              <w:topLinePunct w:val="0"/>
              <w:bidi w:val="0"/>
              <w:adjustRightInd/>
              <w:snapToGrid/>
              <w:spacing w:line="400" w:lineRule="exact"/>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3分</w:t>
            </w:r>
          </w:p>
        </w:tc>
        <w:tc>
          <w:tcPr>
            <w:tcW w:w="6649"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395CFB1D">
            <w:pPr>
              <w:keepNext w:val="0"/>
              <w:keepLines w:val="0"/>
              <w:pageBreakBefore w:val="0"/>
              <w:kinsoku/>
              <w:wordWrap/>
              <w:overflowPunct/>
              <w:topLinePunct w:val="0"/>
              <w:autoSpaceDE w:val="0"/>
              <w:autoSpaceDN w:val="0"/>
              <w:bidi w:val="0"/>
              <w:adjustRightInd/>
              <w:snapToGrid/>
              <w:spacing w:line="400" w:lineRule="exact"/>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rPr>
              <w:t>根据投标人提供的</w:t>
            </w:r>
            <w:r>
              <w:rPr>
                <w:rFonts w:hint="eastAsia" w:ascii="宋体" w:hAnsi="宋体" w:eastAsia="宋体" w:cs="宋体"/>
                <w:b/>
                <w:bCs/>
                <w:sz w:val="24"/>
                <w:szCs w:val="24"/>
                <w:highlight w:val="none"/>
              </w:rPr>
              <w:t>管网养护修复施工</w:t>
            </w:r>
            <w:r>
              <w:rPr>
                <w:rFonts w:hint="eastAsia" w:ascii="宋体" w:hAnsi="宋体" w:eastAsia="宋体" w:cs="宋体"/>
                <w:b/>
                <w:bCs/>
                <w:sz w:val="24"/>
                <w:szCs w:val="20"/>
                <w:highlight w:val="none"/>
              </w:rPr>
              <w:t>方案</w:t>
            </w:r>
            <w:r>
              <w:rPr>
                <w:rFonts w:hint="eastAsia" w:ascii="宋体" w:hAnsi="宋体" w:eastAsia="宋体" w:cs="宋体"/>
                <w:color w:val="auto"/>
                <w:sz w:val="24"/>
                <w:szCs w:val="24"/>
                <w:highlight w:val="none"/>
              </w:rPr>
              <w:t>进行综合评定：</w:t>
            </w:r>
            <w:r>
              <w:rPr>
                <w:rFonts w:hint="eastAsia" w:ascii="宋体" w:hAnsi="宋体" w:eastAsia="宋体" w:cs="宋体"/>
                <w:color w:val="auto"/>
                <w:sz w:val="24"/>
                <w:szCs w:val="24"/>
                <w:highlight w:val="none"/>
                <w:lang w:val="en-US" w:eastAsia="zh-CN"/>
              </w:rPr>
              <w:t>方案</w:t>
            </w:r>
            <w:r>
              <w:rPr>
                <w:rFonts w:hint="eastAsia" w:ascii="宋体" w:hAnsi="宋体" w:eastAsia="宋体" w:cs="宋体"/>
                <w:color w:val="auto"/>
                <w:sz w:val="24"/>
                <w:szCs w:val="24"/>
                <w:highlight w:val="none"/>
              </w:rPr>
              <w:t>科学合理、切实可行、全面完善的得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分；方案笼统但基本可行的得1</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分；未提供或者严重缺失的得0分。</w:t>
            </w:r>
          </w:p>
        </w:tc>
      </w:tr>
      <w:tr w14:paraId="421491C1">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 w:type="dxa"/>
            <w:bottom w:w="0" w:type="dxa"/>
            <w:right w:w="10" w:type="dxa"/>
          </w:tblCellMar>
        </w:tblPrEx>
        <w:trPr>
          <w:trHeight w:val="63"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13564688">
            <w:pPr>
              <w:keepNext w:val="0"/>
              <w:keepLines w:val="0"/>
              <w:pageBreakBefore w:val="0"/>
              <w:kinsoku/>
              <w:wordWrap/>
              <w:overflowPunct/>
              <w:topLinePunct w:val="0"/>
              <w:bidi w:val="0"/>
              <w:adjustRightInd/>
              <w:snapToGrid/>
              <w:spacing w:line="400" w:lineRule="exact"/>
              <w:jc w:val="center"/>
              <w:textAlignment w:val="auto"/>
              <w:rPr>
                <w:rFonts w:hint="eastAsia" w:ascii="宋体" w:hAnsi="宋体" w:eastAsia="宋体" w:cs="宋体"/>
                <w:highlight w:val="none"/>
                <w:lang w:eastAsia="zh-CN"/>
              </w:rPr>
            </w:pPr>
            <w:r>
              <w:rPr>
                <w:rFonts w:hint="eastAsia" w:ascii="宋体" w:hAnsi="宋体" w:eastAsia="宋体" w:cs="宋体"/>
                <w:sz w:val="24"/>
                <w:highlight w:val="none"/>
                <w:lang w:val="en-US" w:eastAsia="zh-CN"/>
              </w:rPr>
              <w:t>6</w:t>
            </w:r>
          </w:p>
        </w:tc>
        <w:tc>
          <w:tcPr>
            <w:tcW w:w="1667"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3CC0F241">
            <w:pPr>
              <w:keepNext w:val="0"/>
              <w:keepLines w:val="0"/>
              <w:pageBreakBefore w:val="0"/>
              <w:kinsoku/>
              <w:wordWrap/>
              <w:overflowPunct/>
              <w:topLinePunct w:val="0"/>
              <w:bidi w:val="0"/>
              <w:adjustRightInd/>
              <w:snapToGrid/>
              <w:spacing w:line="400" w:lineRule="exact"/>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管道检测方案</w:t>
            </w:r>
          </w:p>
        </w:tc>
        <w:tc>
          <w:tcPr>
            <w:tcW w:w="777"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3507B7EB">
            <w:pPr>
              <w:keepNext w:val="0"/>
              <w:keepLines w:val="0"/>
              <w:pageBreakBefore w:val="0"/>
              <w:kinsoku/>
              <w:wordWrap/>
              <w:overflowPunct/>
              <w:topLinePunct w:val="0"/>
              <w:bidi w:val="0"/>
              <w:adjustRightInd/>
              <w:snapToGrid/>
              <w:spacing w:line="40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3分</w:t>
            </w:r>
          </w:p>
        </w:tc>
        <w:tc>
          <w:tcPr>
            <w:tcW w:w="6649"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1E695707">
            <w:pPr>
              <w:keepNext w:val="0"/>
              <w:keepLines w:val="0"/>
              <w:pageBreakBefore w:val="0"/>
              <w:kinsoku/>
              <w:wordWrap/>
              <w:overflowPunct/>
              <w:topLinePunct w:val="0"/>
              <w:autoSpaceDE w:val="0"/>
              <w:autoSpaceDN w:val="0"/>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根据投标人提供的</w:t>
            </w:r>
            <w:r>
              <w:rPr>
                <w:rFonts w:hint="eastAsia" w:ascii="宋体" w:hAnsi="宋体" w:eastAsia="宋体" w:cs="宋体"/>
                <w:b/>
                <w:bCs/>
                <w:sz w:val="24"/>
                <w:szCs w:val="24"/>
                <w:highlight w:val="none"/>
                <w:lang w:val="en-US" w:eastAsia="zh-CN"/>
              </w:rPr>
              <w:t>管道检测方案</w:t>
            </w:r>
            <w:r>
              <w:rPr>
                <w:rFonts w:hint="eastAsia" w:ascii="宋体" w:hAnsi="宋体" w:eastAsia="宋体" w:cs="宋体"/>
                <w:color w:val="auto"/>
                <w:sz w:val="24"/>
                <w:szCs w:val="24"/>
                <w:highlight w:val="none"/>
              </w:rPr>
              <w:t>进行综合评定：</w:t>
            </w:r>
            <w:r>
              <w:rPr>
                <w:rFonts w:hint="eastAsia" w:ascii="宋体" w:hAnsi="宋体" w:eastAsia="宋体" w:cs="宋体"/>
                <w:color w:val="auto"/>
                <w:sz w:val="24"/>
                <w:szCs w:val="24"/>
                <w:highlight w:val="none"/>
                <w:lang w:val="en-US" w:eastAsia="zh-CN"/>
              </w:rPr>
              <w:t>方案</w:t>
            </w:r>
            <w:r>
              <w:rPr>
                <w:rFonts w:hint="eastAsia" w:ascii="宋体" w:hAnsi="宋体" w:eastAsia="宋体" w:cs="宋体"/>
                <w:color w:val="auto"/>
                <w:sz w:val="24"/>
                <w:szCs w:val="24"/>
                <w:highlight w:val="none"/>
              </w:rPr>
              <w:t>科学合理、切实可行、全面完善的得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分；方案笼统但基本可行的得1</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分；未提供或者严重缺失的得0分。</w:t>
            </w:r>
          </w:p>
        </w:tc>
      </w:tr>
      <w:tr w14:paraId="265646C8">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 w:type="dxa"/>
            <w:bottom w:w="0" w:type="dxa"/>
            <w:right w:w="10" w:type="dxa"/>
          </w:tblCellMar>
        </w:tblPrEx>
        <w:trPr>
          <w:trHeight w:val="23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4138AF9A">
            <w:pPr>
              <w:keepNext w:val="0"/>
              <w:keepLines w:val="0"/>
              <w:pageBreakBefore w:val="0"/>
              <w:kinsoku/>
              <w:wordWrap/>
              <w:overflowPunct/>
              <w:topLinePunct w:val="0"/>
              <w:bidi w:val="0"/>
              <w:adjustRightInd/>
              <w:snapToGrid/>
              <w:spacing w:line="400" w:lineRule="exact"/>
              <w:jc w:val="center"/>
              <w:textAlignment w:val="auto"/>
              <w:rPr>
                <w:rFonts w:hint="eastAsia" w:ascii="宋体" w:hAnsi="宋体" w:eastAsia="宋体" w:cs="宋体"/>
                <w:highlight w:val="none"/>
                <w:lang w:eastAsia="zh-CN"/>
              </w:rPr>
            </w:pPr>
            <w:r>
              <w:rPr>
                <w:rFonts w:hint="eastAsia" w:ascii="宋体" w:hAnsi="宋体" w:eastAsia="宋体" w:cs="宋体"/>
                <w:sz w:val="24"/>
                <w:highlight w:val="none"/>
                <w:lang w:val="en-US" w:eastAsia="zh-CN"/>
              </w:rPr>
              <w:t>7</w:t>
            </w:r>
          </w:p>
        </w:tc>
        <w:tc>
          <w:tcPr>
            <w:tcW w:w="1667"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19DD42F8">
            <w:pPr>
              <w:keepNext w:val="0"/>
              <w:keepLines w:val="0"/>
              <w:pageBreakBefore w:val="0"/>
              <w:kinsoku/>
              <w:wordWrap/>
              <w:overflowPunct/>
              <w:topLinePunct w:val="0"/>
              <w:bidi w:val="0"/>
              <w:adjustRightInd/>
              <w:snapToGrid/>
              <w:spacing w:line="400" w:lineRule="exact"/>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安全文明与现场交通组织协调措施方案</w:t>
            </w:r>
          </w:p>
        </w:tc>
        <w:tc>
          <w:tcPr>
            <w:tcW w:w="777"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6DAC2A9F">
            <w:pPr>
              <w:keepNext w:val="0"/>
              <w:keepLines w:val="0"/>
              <w:pageBreakBefore w:val="0"/>
              <w:kinsoku/>
              <w:wordWrap/>
              <w:overflowPunct/>
              <w:topLinePunct w:val="0"/>
              <w:bidi w:val="0"/>
              <w:adjustRightInd/>
              <w:snapToGrid/>
              <w:spacing w:line="400" w:lineRule="exact"/>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3分</w:t>
            </w:r>
          </w:p>
        </w:tc>
        <w:tc>
          <w:tcPr>
            <w:tcW w:w="6649"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2EE290B1">
            <w:pPr>
              <w:keepNext w:val="0"/>
              <w:keepLines w:val="0"/>
              <w:pageBreakBefore w:val="0"/>
              <w:kinsoku/>
              <w:wordWrap/>
              <w:overflowPunct/>
              <w:topLinePunct w:val="0"/>
              <w:bidi w:val="0"/>
              <w:adjustRightInd/>
              <w:snapToGrid/>
              <w:spacing w:line="400" w:lineRule="exact"/>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根据投标人提供的</w:t>
            </w:r>
            <w:r>
              <w:rPr>
                <w:rFonts w:hint="eastAsia" w:ascii="宋体" w:hAnsi="宋体" w:eastAsia="宋体" w:cs="宋体"/>
                <w:b/>
                <w:bCs/>
                <w:sz w:val="24"/>
                <w:szCs w:val="24"/>
                <w:highlight w:val="none"/>
                <w:lang w:val="en-US" w:eastAsia="zh-CN"/>
              </w:rPr>
              <w:t>安全文明与现场交通组织协调措施方案</w:t>
            </w:r>
            <w:r>
              <w:rPr>
                <w:rFonts w:hint="eastAsia" w:ascii="宋体" w:hAnsi="宋体" w:eastAsia="宋体" w:cs="宋体"/>
                <w:sz w:val="24"/>
                <w:szCs w:val="24"/>
                <w:highlight w:val="none"/>
                <w:lang w:val="en-US" w:eastAsia="zh-CN"/>
              </w:rPr>
              <w:t>进行综合评定：方案科学合理、切实可行、全面完善的得3分；方案笼统但基本可行的得1</w:t>
            </w: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lang w:val="en-US" w:eastAsia="zh-CN"/>
              </w:rPr>
              <w:t>分；未提供或者严重缺失的得0分。</w:t>
            </w:r>
          </w:p>
        </w:tc>
      </w:tr>
      <w:tr w14:paraId="17B25B15">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 w:type="dxa"/>
            <w:bottom w:w="0" w:type="dxa"/>
            <w:right w:w="10" w:type="dxa"/>
          </w:tblCellMar>
        </w:tblPrEx>
        <w:trPr>
          <w:trHeight w:val="205"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7A7010DB">
            <w:pPr>
              <w:keepNext w:val="0"/>
              <w:keepLines w:val="0"/>
              <w:pageBreakBefore w:val="0"/>
              <w:kinsoku/>
              <w:wordWrap/>
              <w:overflowPunct/>
              <w:topLinePunct w:val="0"/>
              <w:bidi w:val="0"/>
              <w:adjustRightInd/>
              <w:snapToGrid/>
              <w:spacing w:line="400" w:lineRule="exact"/>
              <w:jc w:val="center"/>
              <w:textAlignment w:val="auto"/>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8</w:t>
            </w:r>
          </w:p>
        </w:tc>
        <w:tc>
          <w:tcPr>
            <w:tcW w:w="1667"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39DA2E71">
            <w:pPr>
              <w:keepNext w:val="0"/>
              <w:keepLines w:val="0"/>
              <w:pageBreakBefore w:val="0"/>
              <w:kinsoku/>
              <w:wordWrap/>
              <w:overflowPunct/>
              <w:topLinePunct w:val="0"/>
              <w:bidi w:val="0"/>
              <w:adjustRightInd/>
              <w:snapToGrid/>
              <w:spacing w:line="400" w:lineRule="exact"/>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技术问题、重难点分析及应对措施</w:t>
            </w:r>
            <w:r>
              <w:rPr>
                <w:rFonts w:hint="eastAsia" w:ascii="宋体" w:hAnsi="宋体" w:eastAsia="宋体" w:cs="宋体"/>
                <w:sz w:val="24"/>
                <w:szCs w:val="24"/>
                <w:highlight w:val="none"/>
                <w:lang w:val="en-US" w:eastAsia="zh-CN"/>
              </w:rPr>
              <w:t>方案</w:t>
            </w:r>
          </w:p>
        </w:tc>
        <w:tc>
          <w:tcPr>
            <w:tcW w:w="777"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524AF776">
            <w:pPr>
              <w:keepNext w:val="0"/>
              <w:keepLines w:val="0"/>
              <w:pageBreakBefore w:val="0"/>
              <w:kinsoku/>
              <w:wordWrap/>
              <w:overflowPunct/>
              <w:topLinePunct w:val="0"/>
              <w:bidi w:val="0"/>
              <w:adjustRightInd/>
              <w:snapToGrid/>
              <w:spacing w:line="40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12分</w:t>
            </w:r>
          </w:p>
        </w:tc>
        <w:tc>
          <w:tcPr>
            <w:tcW w:w="6649"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61BA5995">
            <w:pPr>
              <w:keepNext w:val="0"/>
              <w:keepLines w:val="0"/>
              <w:pageBreakBefore w:val="0"/>
              <w:kinsoku/>
              <w:wordWrap/>
              <w:overflowPunct/>
              <w:topLinePunct w:val="0"/>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根据投标人</w:t>
            </w:r>
            <w:r>
              <w:rPr>
                <w:rFonts w:hint="eastAsia" w:ascii="宋体" w:hAnsi="宋体" w:eastAsia="宋体" w:cs="宋体"/>
                <w:sz w:val="24"/>
                <w:szCs w:val="24"/>
                <w:highlight w:val="none"/>
                <w:lang w:val="en-US" w:eastAsia="zh-CN"/>
              </w:rPr>
              <w:t>提供的</w:t>
            </w:r>
            <w:r>
              <w:rPr>
                <w:rFonts w:hint="eastAsia" w:ascii="宋体" w:hAnsi="宋体" w:eastAsia="宋体" w:cs="宋体"/>
                <w:sz w:val="24"/>
                <w:szCs w:val="24"/>
                <w:highlight w:val="none"/>
              </w:rPr>
              <w:t>技术问题、重难点分析及应对措施</w:t>
            </w:r>
            <w:r>
              <w:rPr>
                <w:rFonts w:hint="eastAsia" w:ascii="宋体" w:hAnsi="宋体" w:eastAsia="宋体" w:cs="宋体"/>
                <w:sz w:val="24"/>
                <w:szCs w:val="24"/>
                <w:highlight w:val="none"/>
                <w:lang w:val="en-US" w:eastAsia="zh-CN"/>
              </w:rPr>
              <w:t>方案</w:t>
            </w:r>
            <w:r>
              <w:rPr>
                <w:rFonts w:hint="eastAsia" w:ascii="宋体" w:hAnsi="宋体" w:eastAsia="宋体" w:cs="宋体"/>
                <w:b/>
                <w:bCs/>
                <w:color w:val="auto"/>
                <w:sz w:val="24"/>
                <w:szCs w:val="24"/>
                <w:highlight w:val="none"/>
              </w:rPr>
              <w:t>（涉及评审要点（共</w:t>
            </w: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rPr>
              <w:t>项）①</w:t>
            </w:r>
            <w:r>
              <w:rPr>
                <w:rFonts w:hint="eastAsia" w:ascii="宋体" w:hAnsi="宋体" w:eastAsia="宋体" w:cs="宋体"/>
                <w:b/>
                <w:bCs/>
                <w:color w:val="000000" w:themeColor="text1"/>
                <w:sz w:val="24"/>
                <w:szCs w:val="22"/>
                <w:highlight w:val="none"/>
                <w:lang w:val="en-US" w:eastAsia="zh-CN" w:bidi="ar-SA"/>
                <w14:textFill>
                  <w14:solidFill>
                    <w14:schemeClr w14:val="tx1"/>
                  </w14:solidFill>
                </w14:textFill>
              </w:rPr>
              <w:t>管网疏通及养护</w:t>
            </w:r>
            <w:r>
              <w:rPr>
                <w:rFonts w:hint="eastAsia" w:ascii="宋体" w:hAnsi="宋体" w:eastAsia="宋体" w:cs="宋体"/>
                <w:b/>
                <w:bCs/>
                <w:color w:val="auto"/>
                <w:sz w:val="24"/>
                <w:szCs w:val="24"/>
                <w:highlight w:val="none"/>
              </w:rPr>
              <w:t>、②</w:t>
            </w:r>
            <w:r>
              <w:rPr>
                <w:rFonts w:hint="eastAsia" w:ascii="宋体" w:hAnsi="宋体" w:eastAsia="宋体" w:cs="宋体"/>
                <w:b/>
                <w:bCs/>
                <w:color w:val="000000" w:themeColor="text1"/>
                <w:sz w:val="24"/>
                <w:szCs w:val="22"/>
                <w:highlight w:val="none"/>
                <w:lang w:val="en-US" w:eastAsia="zh-CN" w:bidi="ar-SA"/>
                <w14:textFill>
                  <w14:solidFill>
                    <w14:schemeClr w14:val="tx1"/>
                  </w14:solidFill>
                </w14:textFill>
              </w:rPr>
              <w:t>雨污分流改造</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③</w:t>
            </w:r>
            <w:r>
              <w:rPr>
                <w:rFonts w:hint="eastAsia" w:ascii="宋体" w:hAnsi="宋体" w:eastAsia="宋体" w:cs="宋体"/>
                <w:b/>
                <w:bCs/>
                <w:sz w:val="24"/>
                <w:szCs w:val="24"/>
                <w:highlight w:val="none"/>
              </w:rPr>
              <w:t>管网养护修复施工</w:t>
            </w: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lang w:val="en-US" w:eastAsia="zh-CN"/>
              </w:rPr>
              <w:t>④管网检测</w:t>
            </w:r>
            <w:r>
              <w:rPr>
                <w:rFonts w:hint="eastAsia" w:ascii="宋体" w:hAnsi="宋体" w:eastAsia="宋体" w:cs="宋体"/>
                <w:b/>
                <w:bCs/>
                <w:color w:val="auto"/>
                <w:sz w:val="24"/>
                <w:szCs w:val="24"/>
                <w:highlight w:val="none"/>
              </w:rPr>
              <w:t>）</w:t>
            </w:r>
            <w:r>
              <w:rPr>
                <w:rFonts w:hint="eastAsia" w:ascii="宋体" w:hAnsi="宋体" w:eastAsia="宋体" w:cs="宋体"/>
                <w:color w:val="auto"/>
                <w:sz w:val="24"/>
                <w:szCs w:val="24"/>
                <w:highlight w:val="none"/>
              </w:rPr>
              <w:t>进行综合评定，</w:t>
            </w:r>
            <w:r>
              <w:rPr>
                <w:rFonts w:hint="eastAsia" w:ascii="宋体" w:hAnsi="宋体" w:eastAsia="宋体" w:cs="宋体"/>
                <w:b/>
                <w:bCs/>
                <w:color w:val="auto"/>
                <w:sz w:val="24"/>
                <w:szCs w:val="24"/>
                <w:highlight w:val="none"/>
              </w:rPr>
              <w:t>本项最高得</w:t>
            </w:r>
            <w:r>
              <w:rPr>
                <w:rFonts w:hint="eastAsia" w:ascii="宋体" w:hAnsi="宋体" w:eastAsia="宋体" w:cs="宋体"/>
                <w:b/>
                <w:bCs/>
                <w:color w:val="auto"/>
                <w:sz w:val="24"/>
                <w:szCs w:val="24"/>
                <w:highlight w:val="none"/>
                <w:lang w:val="en-US" w:eastAsia="zh-CN"/>
              </w:rPr>
              <w:t>12</w:t>
            </w:r>
            <w:r>
              <w:rPr>
                <w:rFonts w:hint="eastAsia" w:ascii="宋体" w:hAnsi="宋体" w:eastAsia="宋体" w:cs="宋体"/>
                <w:b/>
                <w:bCs/>
                <w:color w:val="auto"/>
                <w:sz w:val="24"/>
                <w:szCs w:val="24"/>
                <w:highlight w:val="none"/>
              </w:rPr>
              <w:t>分。</w:t>
            </w:r>
            <w:r>
              <w:rPr>
                <w:rFonts w:hint="eastAsia" w:ascii="宋体" w:hAnsi="宋体" w:eastAsia="宋体" w:cs="宋体"/>
                <w:color w:val="auto"/>
                <w:sz w:val="24"/>
                <w:szCs w:val="24"/>
                <w:highlight w:val="none"/>
              </w:rPr>
              <w:t>体现上述评审要点且内容贴合需求的，每有一项得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分；体现上述评审要点但内容无法完全贴合需求的，每有一项得1</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分；</w:t>
            </w:r>
            <w:r>
              <w:rPr>
                <w:rFonts w:hint="eastAsia" w:ascii="宋体" w:hAnsi="宋体" w:eastAsia="宋体" w:cs="宋体"/>
                <w:bCs/>
                <w:color w:val="auto"/>
                <w:sz w:val="24"/>
                <w:szCs w:val="24"/>
                <w:highlight w:val="none"/>
              </w:rPr>
              <w:t>不合理或者严重缺失的得0分。</w:t>
            </w:r>
          </w:p>
        </w:tc>
      </w:tr>
      <w:tr w14:paraId="00F1134B">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 w:type="dxa"/>
            <w:bottom w:w="0" w:type="dxa"/>
            <w:right w:w="10" w:type="dxa"/>
          </w:tblCellMar>
        </w:tblPrEx>
        <w:trPr>
          <w:trHeight w:val="205"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3404FB46">
            <w:pPr>
              <w:keepNext w:val="0"/>
              <w:keepLines w:val="0"/>
              <w:pageBreakBefore w:val="0"/>
              <w:kinsoku/>
              <w:wordWrap/>
              <w:overflowPunct/>
              <w:topLinePunct w:val="0"/>
              <w:bidi w:val="0"/>
              <w:adjustRightInd/>
              <w:snapToGrid/>
              <w:spacing w:line="400" w:lineRule="exact"/>
              <w:jc w:val="center"/>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9</w:t>
            </w:r>
          </w:p>
        </w:tc>
        <w:tc>
          <w:tcPr>
            <w:tcW w:w="1667"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6720A60F">
            <w:pPr>
              <w:keepNext w:val="0"/>
              <w:keepLines w:val="0"/>
              <w:pageBreakBefore w:val="0"/>
              <w:kinsoku/>
              <w:wordWrap/>
              <w:overflowPunct/>
              <w:topLinePunct w:val="0"/>
              <w:bidi w:val="0"/>
              <w:adjustRightInd/>
              <w:snapToGrid/>
              <w:spacing w:line="400" w:lineRule="exact"/>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服务响应承诺</w:t>
            </w:r>
          </w:p>
        </w:tc>
        <w:tc>
          <w:tcPr>
            <w:tcW w:w="777"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04ED0B65">
            <w:pPr>
              <w:keepNext w:val="0"/>
              <w:keepLines w:val="0"/>
              <w:pageBreakBefore w:val="0"/>
              <w:kinsoku/>
              <w:wordWrap/>
              <w:overflowPunct/>
              <w:topLinePunct w:val="0"/>
              <w:bidi w:val="0"/>
              <w:adjustRightInd/>
              <w:snapToGrid/>
              <w:spacing w:line="400" w:lineRule="exact"/>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分</w:t>
            </w:r>
          </w:p>
        </w:tc>
        <w:tc>
          <w:tcPr>
            <w:tcW w:w="6649" w:type="dxa"/>
            <w:tcBorders>
              <w:top w:val="single" w:color="000000" w:sz="4" w:space="0"/>
              <w:left w:val="single" w:color="000000" w:sz="4" w:space="0"/>
              <w:bottom w:val="single" w:color="000000" w:sz="4" w:space="0"/>
              <w:right w:val="single" w:color="000000" w:sz="4" w:space="0"/>
            </w:tcBorders>
            <w:shd w:val="clear" w:color="auto" w:fill="auto"/>
            <w:noWrap w:val="0"/>
            <w:tcMar>
              <w:left w:w="108" w:type="dxa"/>
              <w:right w:w="108" w:type="dxa"/>
            </w:tcMar>
            <w:vAlign w:val="top"/>
          </w:tcPr>
          <w:p w14:paraId="434F34B3">
            <w:pPr>
              <w:keepNext w:val="0"/>
              <w:keepLines w:val="0"/>
              <w:pageBreakBefore w:val="0"/>
              <w:widowControl/>
              <w:kinsoku/>
              <w:wordWrap/>
              <w:overflowPunct/>
              <w:topLinePunct w:val="0"/>
              <w:bidi w:val="0"/>
              <w:adjustRightInd/>
              <w:snapToGrid/>
              <w:spacing w:line="400" w:lineRule="exact"/>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sz w:val="24"/>
                <w:szCs w:val="24"/>
                <w:highlight w:val="none"/>
              </w:rPr>
              <w:t>根据</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sz w:val="24"/>
                <w:szCs w:val="24"/>
                <w:highlight w:val="none"/>
              </w:rPr>
              <w:t>接到采购人服务通知后的服务响应承诺进行评定。</w:t>
            </w:r>
            <w:r>
              <w:rPr>
                <w:rFonts w:hint="eastAsia" w:ascii="宋体" w:hAnsi="宋体" w:eastAsia="宋体" w:cs="宋体"/>
                <w:bCs/>
                <w:color w:val="auto"/>
                <w:sz w:val="24"/>
                <w:szCs w:val="24"/>
                <w:highlight w:val="none"/>
              </w:rPr>
              <w:t>承诺项目中标后，在接到采购人书面或口头通知工作指令后能在1小时（含）响应的，得</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分；能在2小时内响应的，得</w:t>
            </w: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分</w:t>
            </w:r>
            <w:r>
              <w:rPr>
                <w:rFonts w:hint="eastAsia" w:ascii="宋体" w:hAnsi="宋体" w:eastAsia="宋体" w:cs="宋体"/>
                <w:bCs/>
                <w:color w:val="auto"/>
                <w:sz w:val="24"/>
                <w:szCs w:val="24"/>
                <w:highlight w:val="none"/>
                <w:lang w:eastAsia="zh-CN"/>
              </w:rPr>
              <w:t>。</w:t>
            </w:r>
            <w:r>
              <w:rPr>
                <w:rFonts w:hint="eastAsia" w:ascii="宋体" w:hAnsi="宋体" w:eastAsia="宋体" w:cs="宋体"/>
                <w:b/>
                <w:color w:val="auto"/>
                <w:sz w:val="24"/>
                <w:szCs w:val="24"/>
                <w:highlight w:val="none"/>
              </w:rPr>
              <w:t>注：</w:t>
            </w:r>
            <w:r>
              <w:rPr>
                <w:rFonts w:hint="eastAsia" w:ascii="宋体" w:hAnsi="宋体" w:cs="宋体"/>
                <w:b/>
                <w:color w:val="auto"/>
                <w:sz w:val="24"/>
                <w:szCs w:val="24"/>
                <w:highlight w:val="none"/>
                <w:lang w:val="en-US" w:eastAsia="zh-CN"/>
              </w:rPr>
              <w:t>投标文件</w:t>
            </w:r>
            <w:r>
              <w:rPr>
                <w:rFonts w:hint="eastAsia" w:ascii="宋体" w:hAnsi="宋体" w:eastAsia="宋体" w:cs="宋体"/>
                <w:b/>
                <w:color w:val="auto"/>
                <w:sz w:val="24"/>
                <w:szCs w:val="24"/>
                <w:highlight w:val="none"/>
              </w:rPr>
              <w:t>中须提供承诺书（格式自拟），未提供的或超过2小时响应的不得分。</w:t>
            </w:r>
          </w:p>
        </w:tc>
      </w:tr>
    </w:tbl>
    <w:p w14:paraId="297CE1EC">
      <w:pPr>
        <w:spacing w:line="440" w:lineRule="exact"/>
        <w:ind w:firstLine="241" w:firstLineChars="1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w:t>
      </w:r>
      <w:r>
        <w:rPr>
          <w:rFonts w:hint="eastAsia" w:ascii="宋体" w:hAnsi="宋体" w:eastAsia="宋体" w:cs="宋体"/>
          <w:b/>
          <w:color w:val="auto"/>
          <w:sz w:val="24"/>
          <w:szCs w:val="24"/>
          <w:highlight w:val="none"/>
          <w:lang w:val="en-US" w:eastAsia="zh-CN"/>
        </w:rPr>
        <w:t>人员及设备投入情况16</w:t>
      </w:r>
      <w:r>
        <w:rPr>
          <w:rFonts w:hint="eastAsia" w:ascii="宋体" w:hAnsi="宋体" w:eastAsia="宋体" w:cs="宋体"/>
          <w:b/>
          <w:color w:val="auto"/>
          <w:sz w:val="24"/>
          <w:szCs w:val="24"/>
          <w:highlight w:val="none"/>
        </w:rPr>
        <w:t>分</w:t>
      </w:r>
    </w:p>
    <w:tbl>
      <w:tblPr>
        <w:tblStyle w:val="5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835"/>
        <w:gridCol w:w="1471"/>
        <w:gridCol w:w="777"/>
        <w:gridCol w:w="6649"/>
      </w:tblGrid>
      <w:tr w14:paraId="5C412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12" w:hRule="atLeast"/>
          <w:jc w:val="center"/>
        </w:trPr>
        <w:tc>
          <w:tcPr>
            <w:tcW w:w="835" w:type="dxa"/>
            <w:shd w:val="clear" w:color="000000" w:fill="FFFFFF"/>
            <w:noWrap w:val="0"/>
            <w:tcMar>
              <w:left w:w="108" w:type="dxa"/>
              <w:right w:w="108" w:type="dxa"/>
            </w:tcMar>
            <w:vAlign w:val="center"/>
          </w:tcPr>
          <w:p w14:paraId="0EEA5158">
            <w:pPr>
              <w:keepNext w:val="0"/>
              <w:keepLines w:val="0"/>
              <w:pageBreakBefore w:val="0"/>
              <w:widowControl w:val="0"/>
              <w:kinsoku/>
              <w:wordWrap/>
              <w:overflowPunct/>
              <w:topLinePunct w:val="0"/>
              <w:bidi w:val="0"/>
              <w:adjustRightInd/>
              <w:snapToGrid/>
              <w:spacing w:line="400" w:lineRule="exact"/>
              <w:jc w:val="center"/>
              <w:textAlignment w:val="auto"/>
              <w:rPr>
                <w:rFonts w:hint="eastAsia" w:ascii="宋体" w:hAnsi="宋体" w:eastAsia="宋体" w:cs="宋体"/>
                <w:highlight w:val="none"/>
              </w:rPr>
            </w:pPr>
            <w:r>
              <w:rPr>
                <w:rFonts w:hint="eastAsia" w:ascii="宋体" w:hAnsi="宋体" w:eastAsia="宋体" w:cs="宋体"/>
                <w:sz w:val="24"/>
                <w:highlight w:val="none"/>
              </w:rPr>
              <w:t>序号</w:t>
            </w:r>
          </w:p>
        </w:tc>
        <w:tc>
          <w:tcPr>
            <w:tcW w:w="1471" w:type="dxa"/>
            <w:shd w:val="clear" w:color="000000" w:fill="FFFFFF"/>
            <w:noWrap w:val="0"/>
            <w:tcMar>
              <w:left w:w="108" w:type="dxa"/>
              <w:right w:w="108" w:type="dxa"/>
            </w:tcMar>
            <w:vAlign w:val="center"/>
          </w:tcPr>
          <w:p w14:paraId="7B7C0DD4">
            <w:pPr>
              <w:keepNext w:val="0"/>
              <w:keepLines w:val="0"/>
              <w:pageBreakBefore w:val="0"/>
              <w:widowControl w:val="0"/>
              <w:kinsoku/>
              <w:wordWrap/>
              <w:overflowPunct/>
              <w:topLinePunct w:val="0"/>
              <w:bidi w:val="0"/>
              <w:adjustRightInd/>
              <w:snapToGrid/>
              <w:spacing w:line="400" w:lineRule="exact"/>
              <w:jc w:val="center"/>
              <w:textAlignment w:val="auto"/>
              <w:rPr>
                <w:rFonts w:hint="eastAsia" w:ascii="宋体" w:hAnsi="宋体" w:eastAsia="宋体" w:cs="宋体"/>
                <w:highlight w:val="none"/>
              </w:rPr>
            </w:pPr>
            <w:r>
              <w:rPr>
                <w:rFonts w:hint="eastAsia" w:ascii="宋体" w:hAnsi="宋体" w:eastAsia="宋体" w:cs="宋体"/>
                <w:sz w:val="24"/>
                <w:highlight w:val="none"/>
              </w:rPr>
              <w:t>评审因素</w:t>
            </w:r>
          </w:p>
        </w:tc>
        <w:tc>
          <w:tcPr>
            <w:tcW w:w="777" w:type="dxa"/>
            <w:shd w:val="clear" w:color="000000" w:fill="FFFFFF"/>
            <w:noWrap w:val="0"/>
            <w:tcMar>
              <w:left w:w="108" w:type="dxa"/>
              <w:right w:w="108" w:type="dxa"/>
            </w:tcMar>
            <w:vAlign w:val="center"/>
          </w:tcPr>
          <w:p w14:paraId="4398C2C3">
            <w:pPr>
              <w:keepNext w:val="0"/>
              <w:keepLines w:val="0"/>
              <w:pageBreakBefore w:val="0"/>
              <w:widowControl w:val="0"/>
              <w:kinsoku/>
              <w:wordWrap/>
              <w:overflowPunct/>
              <w:topLinePunct w:val="0"/>
              <w:bidi w:val="0"/>
              <w:adjustRightInd/>
              <w:snapToGrid/>
              <w:spacing w:line="400" w:lineRule="exact"/>
              <w:jc w:val="center"/>
              <w:textAlignment w:val="auto"/>
              <w:rPr>
                <w:rFonts w:hint="eastAsia" w:ascii="宋体" w:hAnsi="宋体" w:eastAsia="宋体" w:cs="宋体"/>
                <w:highlight w:val="none"/>
              </w:rPr>
            </w:pPr>
            <w:r>
              <w:rPr>
                <w:rFonts w:hint="eastAsia" w:ascii="宋体" w:hAnsi="宋体" w:eastAsia="宋体" w:cs="宋体"/>
                <w:sz w:val="24"/>
                <w:highlight w:val="none"/>
              </w:rPr>
              <w:t>权值</w:t>
            </w:r>
          </w:p>
        </w:tc>
        <w:tc>
          <w:tcPr>
            <w:tcW w:w="6649" w:type="dxa"/>
            <w:shd w:val="clear" w:color="000000" w:fill="FFFFFF"/>
            <w:noWrap w:val="0"/>
            <w:tcMar>
              <w:left w:w="108" w:type="dxa"/>
              <w:right w:w="108" w:type="dxa"/>
            </w:tcMar>
            <w:vAlign w:val="center"/>
          </w:tcPr>
          <w:p w14:paraId="2580808D">
            <w:pPr>
              <w:keepNext w:val="0"/>
              <w:keepLines w:val="0"/>
              <w:pageBreakBefore w:val="0"/>
              <w:widowControl w:val="0"/>
              <w:kinsoku/>
              <w:wordWrap/>
              <w:overflowPunct/>
              <w:topLinePunct w:val="0"/>
              <w:bidi w:val="0"/>
              <w:adjustRightInd/>
              <w:snapToGrid/>
              <w:spacing w:line="400" w:lineRule="exact"/>
              <w:jc w:val="center"/>
              <w:textAlignment w:val="auto"/>
              <w:rPr>
                <w:rFonts w:hint="eastAsia" w:ascii="宋体" w:hAnsi="宋体" w:eastAsia="宋体" w:cs="宋体"/>
                <w:highlight w:val="none"/>
              </w:rPr>
            </w:pPr>
            <w:r>
              <w:rPr>
                <w:rFonts w:hint="eastAsia" w:ascii="宋体" w:hAnsi="宋体" w:eastAsia="宋体" w:cs="宋体"/>
                <w:sz w:val="24"/>
                <w:highlight w:val="none"/>
              </w:rPr>
              <w:t>评分标准</w:t>
            </w:r>
          </w:p>
        </w:tc>
      </w:tr>
      <w:tr w14:paraId="76B33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312" w:hRule="atLeast"/>
          <w:jc w:val="center"/>
        </w:trPr>
        <w:tc>
          <w:tcPr>
            <w:tcW w:w="835" w:type="dxa"/>
            <w:shd w:val="clear" w:color="000000" w:fill="FFFFFF"/>
            <w:noWrap w:val="0"/>
            <w:tcMar>
              <w:left w:w="108" w:type="dxa"/>
              <w:right w:w="108" w:type="dxa"/>
            </w:tcMar>
            <w:vAlign w:val="center"/>
          </w:tcPr>
          <w:p w14:paraId="2D794325">
            <w:pPr>
              <w:keepNext w:val="0"/>
              <w:keepLines w:val="0"/>
              <w:pageBreakBefore w:val="0"/>
              <w:widowControl w:val="0"/>
              <w:kinsoku/>
              <w:wordWrap/>
              <w:overflowPunct/>
              <w:topLinePunct w:val="0"/>
              <w:bidi w:val="0"/>
              <w:adjustRightInd/>
              <w:snapToGrid/>
              <w:spacing w:line="400" w:lineRule="exact"/>
              <w:jc w:val="center"/>
              <w:textAlignment w:val="auto"/>
              <w:rPr>
                <w:rFonts w:hint="eastAsia" w:ascii="宋体" w:hAnsi="宋体" w:eastAsia="宋体" w:cs="宋体"/>
                <w:highlight w:val="none"/>
              </w:rPr>
            </w:pPr>
            <w:r>
              <w:rPr>
                <w:rFonts w:hint="eastAsia" w:ascii="宋体" w:hAnsi="宋体" w:eastAsia="宋体" w:cs="宋体"/>
                <w:sz w:val="24"/>
                <w:highlight w:val="none"/>
              </w:rPr>
              <w:t>1</w:t>
            </w:r>
          </w:p>
        </w:tc>
        <w:tc>
          <w:tcPr>
            <w:tcW w:w="1471" w:type="dxa"/>
            <w:shd w:val="clear" w:color="000000" w:fill="FFFFFF"/>
            <w:noWrap w:val="0"/>
            <w:tcMar>
              <w:left w:w="108" w:type="dxa"/>
              <w:right w:w="108" w:type="dxa"/>
            </w:tcMar>
            <w:vAlign w:val="center"/>
          </w:tcPr>
          <w:p w14:paraId="400959CB">
            <w:pPr>
              <w:keepNext w:val="0"/>
              <w:keepLines w:val="0"/>
              <w:pageBreakBefore w:val="0"/>
              <w:widowControl w:val="0"/>
              <w:kinsoku/>
              <w:wordWrap/>
              <w:overflowPunct/>
              <w:topLinePunct w:val="0"/>
              <w:bidi w:val="0"/>
              <w:adjustRightInd/>
              <w:snapToGrid/>
              <w:spacing w:line="400" w:lineRule="exact"/>
              <w:jc w:val="center"/>
              <w:textAlignment w:val="auto"/>
              <w:rPr>
                <w:rFonts w:hint="eastAsia" w:ascii="宋体" w:hAnsi="宋体" w:eastAsia="宋体" w:cs="宋体"/>
                <w:sz w:val="24"/>
                <w:highlight w:val="none"/>
              </w:rPr>
            </w:pPr>
            <w:r>
              <w:rPr>
                <w:rFonts w:hint="eastAsia" w:ascii="宋体" w:hAnsi="宋体" w:eastAsia="宋体" w:cs="宋体"/>
                <w:sz w:val="24"/>
                <w:highlight w:val="none"/>
              </w:rPr>
              <w:t>项目负责人</w:t>
            </w:r>
          </w:p>
        </w:tc>
        <w:tc>
          <w:tcPr>
            <w:tcW w:w="777" w:type="dxa"/>
            <w:shd w:val="clear" w:color="000000" w:fill="FFFFFF"/>
            <w:noWrap w:val="0"/>
            <w:tcMar>
              <w:left w:w="108" w:type="dxa"/>
              <w:right w:w="108" w:type="dxa"/>
            </w:tcMar>
            <w:vAlign w:val="center"/>
          </w:tcPr>
          <w:p w14:paraId="6CD7FEFE">
            <w:pPr>
              <w:keepNext w:val="0"/>
              <w:keepLines w:val="0"/>
              <w:pageBreakBefore w:val="0"/>
              <w:widowControl w:val="0"/>
              <w:kinsoku/>
              <w:wordWrap/>
              <w:overflowPunct/>
              <w:topLinePunct w:val="0"/>
              <w:bidi w:val="0"/>
              <w:adjustRightInd/>
              <w:snapToGrid/>
              <w:spacing w:line="400" w:lineRule="exact"/>
              <w:jc w:val="center"/>
              <w:textAlignment w:val="auto"/>
              <w:rPr>
                <w:rFonts w:hint="eastAsia" w:ascii="宋体" w:hAnsi="宋体" w:eastAsia="宋体" w:cs="宋体"/>
                <w:sz w:val="24"/>
                <w:highlight w:val="none"/>
              </w:rPr>
            </w:pPr>
            <w:r>
              <w:rPr>
                <w:rFonts w:hint="eastAsia" w:ascii="宋体" w:hAnsi="宋体" w:cs="宋体"/>
                <w:sz w:val="24"/>
                <w:highlight w:val="none"/>
                <w:lang w:val="en-US" w:eastAsia="zh-CN"/>
              </w:rPr>
              <w:t>4</w:t>
            </w:r>
            <w:r>
              <w:rPr>
                <w:rFonts w:hint="eastAsia" w:ascii="宋体" w:hAnsi="宋体" w:eastAsia="宋体" w:cs="宋体"/>
                <w:sz w:val="24"/>
                <w:highlight w:val="none"/>
              </w:rPr>
              <w:t>分</w:t>
            </w:r>
          </w:p>
        </w:tc>
        <w:tc>
          <w:tcPr>
            <w:tcW w:w="6649" w:type="dxa"/>
            <w:shd w:val="clear" w:color="000000" w:fill="FFFFFF"/>
            <w:noWrap w:val="0"/>
            <w:tcMar>
              <w:left w:w="108" w:type="dxa"/>
              <w:right w:w="108" w:type="dxa"/>
            </w:tcMar>
            <w:vAlign w:val="center"/>
          </w:tcPr>
          <w:p w14:paraId="37E314B2">
            <w:pPr>
              <w:keepNext w:val="0"/>
              <w:keepLines w:val="0"/>
              <w:pageBreakBefore w:val="0"/>
              <w:widowControl w:val="0"/>
              <w:numPr>
                <w:ilvl w:val="0"/>
                <w:numId w:val="0"/>
              </w:numPr>
              <w:kinsoku/>
              <w:wordWrap/>
              <w:overflowPunct/>
              <w:topLinePunct w:val="0"/>
              <w:autoSpaceDE w:val="0"/>
              <w:autoSpaceDN w:val="0"/>
              <w:bidi w:val="0"/>
              <w:adjustRightInd/>
              <w:snapToGrid/>
              <w:spacing w:line="400" w:lineRule="exact"/>
              <w:textAlignment w:val="auto"/>
              <w:rPr>
                <w:rFonts w:hint="eastAsia" w:ascii="宋体" w:hAnsi="宋体" w:eastAsia="宋体" w:cs="宋体"/>
                <w:sz w:val="24"/>
                <w:highlight w:val="none"/>
                <w:lang w:val="en-US" w:eastAsia="zh-CN"/>
              </w:rPr>
            </w:pPr>
            <w:r>
              <w:rPr>
                <w:rFonts w:hint="eastAsia" w:ascii="宋体" w:hAnsi="宋体" w:eastAsia="宋体" w:cs="宋体"/>
                <w:kern w:val="2"/>
                <w:sz w:val="24"/>
                <w:highlight w:val="none"/>
                <w:lang w:val="en-US" w:eastAsia="zh-CN" w:bidi="ar-SA"/>
              </w:rPr>
              <w:t>1、</w:t>
            </w:r>
            <w:r>
              <w:rPr>
                <w:rFonts w:hint="eastAsia" w:ascii="宋体" w:hAnsi="宋体" w:eastAsia="宋体" w:cs="宋体"/>
                <w:sz w:val="24"/>
                <w:highlight w:val="none"/>
                <w:lang w:val="en-US" w:eastAsia="zh-CN"/>
              </w:rPr>
              <w:t>拟投入项目负责人具有</w:t>
            </w:r>
            <w:r>
              <w:rPr>
                <w:rFonts w:hint="eastAsia" w:ascii="宋体" w:hAnsi="宋体" w:cs="宋体"/>
                <w:sz w:val="24"/>
                <w:highlight w:val="none"/>
                <w:lang w:val="en-US" w:eastAsia="zh-CN"/>
              </w:rPr>
              <w:t>建设工程专业中级及以上工程师</w:t>
            </w:r>
            <w:r>
              <w:rPr>
                <w:rFonts w:hint="eastAsia" w:ascii="宋体" w:hAnsi="宋体" w:eastAsia="宋体" w:cs="宋体"/>
                <w:sz w:val="24"/>
                <w:highlight w:val="none"/>
              </w:rPr>
              <w:t>职称的得</w:t>
            </w:r>
            <w:r>
              <w:rPr>
                <w:rFonts w:hint="eastAsia" w:ascii="宋体" w:hAnsi="宋体" w:cs="宋体"/>
                <w:sz w:val="24"/>
                <w:highlight w:val="none"/>
                <w:lang w:val="en-US" w:eastAsia="zh-CN"/>
              </w:rPr>
              <w:t>2</w:t>
            </w:r>
            <w:r>
              <w:rPr>
                <w:rFonts w:hint="eastAsia" w:ascii="宋体" w:hAnsi="宋体" w:eastAsia="宋体" w:cs="宋体"/>
                <w:sz w:val="24"/>
                <w:highlight w:val="none"/>
              </w:rPr>
              <w:t>分；初级职称的不得分。</w:t>
            </w:r>
            <w:r>
              <w:rPr>
                <w:rFonts w:hint="eastAsia" w:ascii="宋体" w:hAnsi="宋体" w:eastAsia="宋体" w:cs="宋体"/>
                <w:sz w:val="24"/>
                <w:highlight w:val="none"/>
                <w:lang w:val="en-US" w:eastAsia="zh-CN"/>
              </w:rPr>
              <w:t>本小项最高得</w:t>
            </w:r>
            <w:r>
              <w:rPr>
                <w:rFonts w:hint="eastAsia" w:ascii="宋体" w:hAnsi="宋体" w:cs="宋体"/>
                <w:sz w:val="24"/>
                <w:highlight w:val="none"/>
                <w:lang w:val="en-US" w:eastAsia="zh-CN"/>
              </w:rPr>
              <w:t>2</w:t>
            </w:r>
            <w:r>
              <w:rPr>
                <w:rFonts w:hint="eastAsia" w:ascii="宋体" w:hAnsi="宋体" w:eastAsia="宋体" w:cs="宋体"/>
                <w:sz w:val="24"/>
                <w:highlight w:val="none"/>
                <w:lang w:val="en-US" w:eastAsia="zh-CN"/>
              </w:rPr>
              <w:t>分。</w:t>
            </w:r>
          </w:p>
          <w:p w14:paraId="559A6DA4">
            <w:pPr>
              <w:keepNext w:val="0"/>
              <w:keepLines w:val="0"/>
              <w:pageBreakBefore w:val="0"/>
              <w:widowControl w:val="0"/>
              <w:numPr>
                <w:ilvl w:val="0"/>
                <w:numId w:val="0"/>
              </w:numPr>
              <w:kinsoku/>
              <w:wordWrap/>
              <w:overflowPunct/>
              <w:topLinePunct w:val="0"/>
              <w:autoSpaceDE w:val="0"/>
              <w:autoSpaceDN w:val="0"/>
              <w:bidi w:val="0"/>
              <w:adjustRightInd/>
              <w:snapToGrid/>
              <w:spacing w:line="400" w:lineRule="exact"/>
              <w:textAlignment w:val="auto"/>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2、</w:t>
            </w:r>
            <w:r>
              <w:rPr>
                <w:rFonts w:hint="eastAsia" w:asciiTheme="minorEastAsia" w:hAnsiTheme="minorEastAsia" w:eastAsiaTheme="minorEastAsia"/>
                <w:color w:val="000000" w:themeColor="text1"/>
                <w:sz w:val="24"/>
                <w:szCs w:val="24"/>
                <w:highlight w:val="none"/>
                <w14:textFill>
                  <w14:solidFill>
                    <w14:schemeClr w14:val="tx1"/>
                  </w14:solidFill>
                </w14:textFill>
              </w:rPr>
              <w:t>项目负责人具有市政公用工程</w:t>
            </w:r>
            <w:r>
              <w:rPr>
                <w:rFonts w:hint="eastAsia" w:asciiTheme="minorEastAsia" w:hAnsiTheme="minorEastAsia"/>
                <w:color w:val="000000" w:themeColor="text1"/>
                <w:sz w:val="24"/>
                <w:szCs w:val="24"/>
                <w:highlight w:val="none"/>
                <w:lang w:val="en-US" w:eastAsia="zh-CN"/>
                <w14:textFill>
                  <w14:solidFill>
                    <w14:schemeClr w14:val="tx1"/>
                  </w14:solidFill>
                </w14:textFill>
              </w:rPr>
              <w:t>一</w:t>
            </w:r>
            <w:r>
              <w:rPr>
                <w:rFonts w:hint="eastAsia" w:asciiTheme="minorEastAsia" w:hAnsiTheme="minorEastAsia" w:eastAsiaTheme="minorEastAsia"/>
                <w:color w:val="000000" w:themeColor="text1"/>
                <w:sz w:val="24"/>
                <w:szCs w:val="24"/>
                <w:highlight w:val="none"/>
                <w14:textFill>
                  <w14:solidFill>
                    <w14:schemeClr w14:val="tx1"/>
                  </w14:solidFill>
                </w14:textFill>
              </w:rPr>
              <w:t>级注册建造师资质及相应的安全生产</w:t>
            </w:r>
            <w:r>
              <w:rPr>
                <w:rFonts w:hint="default" w:asciiTheme="minorEastAsia" w:hAnsiTheme="minorEastAsia" w:eastAsiaTheme="minorEastAsia"/>
                <w:color w:val="000000" w:themeColor="text1"/>
                <w:sz w:val="24"/>
                <w:szCs w:val="24"/>
                <w:highlight w:val="none"/>
                <w14:textFill>
                  <w14:solidFill>
                    <w14:schemeClr w14:val="tx1"/>
                  </w14:solidFill>
                </w14:textFill>
              </w:rPr>
              <w:t>B</w:t>
            </w:r>
            <w:r>
              <w:rPr>
                <w:rFonts w:hint="eastAsia" w:asciiTheme="minorEastAsia" w:hAnsiTheme="minorEastAsia" w:eastAsiaTheme="minorEastAsia"/>
                <w:color w:val="000000" w:themeColor="text1"/>
                <w:sz w:val="24"/>
                <w:szCs w:val="24"/>
                <w:highlight w:val="none"/>
                <w14:textFill>
                  <w14:solidFill>
                    <w14:schemeClr w14:val="tx1"/>
                  </w14:solidFill>
                </w14:textFill>
              </w:rPr>
              <w:t>类证书的得</w:t>
            </w:r>
            <w:r>
              <w:rPr>
                <w:rFonts w:hint="eastAsia" w:asciiTheme="minorEastAsia" w:hAnsiTheme="minorEastAsia"/>
                <w:color w:val="000000" w:themeColor="text1"/>
                <w:sz w:val="24"/>
                <w:szCs w:val="24"/>
                <w:highlight w:val="none"/>
                <w:lang w:val="en-US" w:eastAsia="zh-CN"/>
                <w14:textFill>
                  <w14:solidFill>
                    <w14:schemeClr w14:val="tx1"/>
                  </w14:solidFill>
                </w14:textFill>
              </w:rPr>
              <w:t>2</w:t>
            </w:r>
            <w:r>
              <w:rPr>
                <w:rFonts w:hint="eastAsia" w:asciiTheme="minorEastAsia" w:hAnsiTheme="minorEastAsia" w:eastAsiaTheme="minorEastAsia"/>
                <w:color w:val="000000" w:themeColor="text1"/>
                <w:sz w:val="24"/>
                <w:szCs w:val="24"/>
                <w:highlight w:val="none"/>
                <w14:textFill>
                  <w14:solidFill>
                    <w14:schemeClr w14:val="tx1"/>
                  </w14:solidFill>
                </w14:textFill>
              </w:rPr>
              <w:t>分；具有市政公用工程</w:t>
            </w:r>
            <w:r>
              <w:rPr>
                <w:rFonts w:hint="eastAsia" w:asciiTheme="minorEastAsia" w:hAnsiTheme="minorEastAsia"/>
                <w:color w:val="000000" w:themeColor="text1"/>
                <w:sz w:val="24"/>
                <w:szCs w:val="24"/>
                <w:highlight w:val="none"/>
                <w:lang w:val="en-US" w:eastAsia="zh-CN"/>
                <w14:textFill>
                  <w14:solidFill>
                    <w14:schemeClr w14:val="tx1"/>
                  </w14:solidFill>
                </w14:textFill>
              </w:rPr>
              <w:t>二</w:t>
            </w:r>
            <w:r>
              <w:rPr>
                <w:rFonts w:hint="eastAsia" w:asciiTheme="minorEastAsia" w:hAnsiTheme="minorEastAsia" w:eastAsiaTheme="minorEastAsia"/>
                <w:color w:val="000000" w:themeColor="text1"/>
                <w:sz w:val="24"/>
                <w:szCs w:val="24"/>
                <w:highlight w:val="none"/>
                <w14:textFill>
                  <w14:solidFill>
                    <w14:schemeClr w14:val="tx1"/>
                  </w14:solidFill>
                </w14:textFill>
              </w:rPr>
              <w:t>级注册建造师资质及相应的安全生产</w:t>
            </w:r>
            <w:r>
              <w:rPr>
                <w:rFonts w:hint="default" w:asciiTheme="minorEastAsia" w:hAnsiTheme="minorEastAsia" w:eastAsiaTheme="minorEastAsia"/>
                <w:color w:val="000000" w:themeColor="text1"/>
                <w:sz w:val="24"/>
                <w:szCs w:val="24"/>
                <w:highlight w:val="none"/>
                <w14:textFill>
                  <w14:solidFill>
                    <w14:schemeClr w14:val="tx1"/>
                  </w14:solidFill>
                </w14:textFill>
              </w:rPr>
              <w:t>B</w:t>
            </w:r>
            <w:r>
              <w:rPr>
                <w:rFonts w:hint="eastAsia" w:asciiTheme="minorEastAsia" w:hAnsiTheme="minorEastAsia" w:eastAsiaTheme="minorEastAsia"/>
                <w:color w:val="000000" w:themeColor="text1"/>
                <w:sz w:val="24"/>
                <w:szCs w:val="24"/>
                <w:highlight w:val="none"/>
                <w14:textFill>
                  <w14:solidFill>
                    <w14:schemeClr w14:val="tx1"/>
                  </w14:solidFill>
                </w14:textFill>
              </w:rPr>
              <w:t>类证书的得</w:t>
            </w:r>
            <w:r>
              <w:rPr>
                <w:rFonts w:hint="eastAsia" w:asciiTheme="minorEastAsia" w:hAnsiTheme="minorEastAsia"/>
                <w:color w:val="000000" w:themeColor="text1"/>
                <w:sz w:val="24"/>
                <w:szCs w:val="24"/>
                <w:highlight w:val="none"/>
                <w:lang w:val="en-US" w:eastAsia="zh-CN"/>
                <w14:textFill>
                  <w14:solidFill>
                    <w14:schemeClr w14:val="tx1"/>
                  </w14:solidFill>
                </w14:textFill>
              </w:rPr>
              <w:t>1</w:t>
            </w:r>
            <w:r>
              <w:rPr>
                <w:rFonts w:hint="eastAsia" w:asciiTheme="minorEastAsia" w:hAnsiTheme="minorEastAsia" w:eastAsiaTheme="minorEastAsia"/>
                <w:color w:val="000000" w:themeColor="text1"/>
                <w:sz w:val="24"/>
                <w:szCs w:val="24"/>
                <w:highlight w:val="none"/>
                <w14:textFill>
                  <w14:solidFill>
                    <w14:schemeClr w14:val="tx1"/>
                  </w14:solidFill>
                </w14:textFill>
              </w:rPr>
              <w:t>分</w:t>
            </w: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否则不得分。</w:t>
            </w:r>
          </w:p>
          <w:p w14:paraId="699C935E">
            <w:pPr>
              <w:keepNext w:val="0"/>
              <w:keepLines w:val="0"/>
              <w:pageBreakBefore w:val="0"/>
              <w:widowControl w:val="0"/>
              <w:kinsoku/>
              <w:wordWrap/>
              <w:overflowPunct/>
              <w:topLinePunct w:val="0"/>
              <w:autoSpaceDE w:val="0"/>
              <w:autoSpaceDN w:val="0"/>
              <w:bidi w:val="0"/>
              <w:adjustRightInd/>
              <w:snapToGrid/>
              <w:spacing w:line="400" w:lineRule="exact"/>
              <w:textAlignment w:val="auto"/>
              <w:rPr>
                <w:rFonts w:hint="eastAsia" w:ascii="宋体" w:hAnsi="宋体" w:eastAsia="宋体" w:cs="宋体"/>
                <w:b/>
                <w:sz w:val="24"/>
                <w:highlight w:val="none"/>
              </w:rPr>
            </w:pPr>
            <w:r>
              <w:rPr>
                <w:rFonts w:hint="eastAsia" w:ascii="宋体" w:hAnsi="宋体" w:eastAsia="宋体" w:cs="宋体"/>
                <w:b/>
                <w:sz w:val="24"/>
                <w:highlight w:val="none"/>
              </w:rPr>
              <w:t>注：投标文件提供人员相关证书及投标人为其缴纳的近三个月内任意一个月的社保证明扫描件，未提供的不得分。</w:t>
            </w:r>
          </w:p>
        </w:tc>
      </w:tr>
      <w:tr w14:paraId="4B2C8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312" w:hRule="atLeast"/>
          <w:jc w:val="center"/>
        </w:trPr>
        <w:tc>
          <w:tcPr>
            <w:tcW w:w="835" w:type="dxa"/>
            <w:shd w:val="clear" w:color="000000" w:fill="FFFFFF"/>
            <w:noWrap w:val="0"/>
            <w:tcMar>
              <w:left w:w="108" w:type="dxa"/>
              <w:right w:w="108" w:type="dxa"/>
            </w:tcMar>
            <w:vAlign w:val="center"/>
          </w:tcPr>
          <w:p w14:paraId="21F31A67">
            <w:pPr>
              <w:keepNext w:val="0"/>
              <w:keepLines w:val="0"/>
              <w:pageBreakBefore w:val="0"/>
              <w:widowControl w:val="0"/>
              <w:kinsoku/>
              <w:wordWrap/>
              <w:overflowPunct/>
              <w:topLinePunct w:val="0"/>
              <w:bidi w:val="0"/>
              <w:adjustRightInd/>
              <w:snapToGrid/>
              <w:spacing w:line="400" w:lineRule="exact"/>
              <w:jc w:val="center"/>
              <w:textAlignment w:val="auto"/>
              <w:rPr>
                <w:rFonts w:hint="eastAsia" w:ascii="宋体" w:hAnsi="宋体" w:eastAsia="宋体" w:cs="宋体"/>
                <w:highlight w:val="none"/>
                <w:lang w:eastAsia="zh-CN"/>
              </w:rPr>
            </w:pPr>
            <w:r>
              <w:rPr>
                <w:rFonts w:hint="eastAsia" w:ascii="宋体" w:hAnsi="宋体" w:eastAsia="宋体" w:cs="宋体"/>
                <w:sz w:val="24"/>
                <w:highlight w:val="none"/>
                <w:lang w:val="en-US" w:eastAsia="zh-CN"/>
              </w:rPr>
              <w:t>2</w:t>
            </w:r>
          </w:p>
        </w:tc>
        <w:tc>
          <w:tcPr>
            <w:tcW w:w="1471" w:type="dxa"/>
            <w:shd w:val="clear" w:color="000000" w:fill="FFFFFF"/>
            <w:noWrap w:val="0"/>
            <w:tcMar>
              <w:left w:w="108" w:type="dxa"/>
              <w:right w:w="108" w:type="dxa"/>
            </w:tcMar>
            <w:vAlign w:val="center"/>
          </w:tcPr>
          <w:p w14:paraId="736F3D4B">
            <w:pPr>
              <w:keepNext w:val="0"/>
              <w:keepLines w:val="0"/>
              <w:pageBreakBefore w:val="0"/>
              <w:widowControl w:val="0"/>
              <w:kinsoku/>
              <w:wordWrap/>
              <w:overflowPunct/>
              <w:topLinePunct w:val="0"/>
              <w:bidi w:val="0"/>
              <w:adjustRightInd/>
              <w:snapToGrid/>
              <w:spacing w:line="400" w:lineRule="exact"/>
              <w:jc w:val="center"/>
              <w:textAlignment w:val="auto"/>
              <w:rPr>
                <w:rFonts w:hint="eastAsia" w:ascii="宋体" w:hAnsi="宋体" w:eastAsia="宋体" w:cs="宋体"/>
                <w:sz w:val="24"/>
                <w:highlight w:val="none"/>
                <w:lang w:val="en-US"/>
              </w:rPr>
            </w:pPr>
            <w:r>
              <w:rPr>
                <w:rFonts w:hint="eastAsia" w:ascii="宋体" w:hAnsi="宋体" w:eastAsia="宋体" w:cs="宋体"/>
                <w:sz w:val="24"/>
                <w:highlight w:val="none"/>
                <w:lang w:val="en-US" w:eastAsia="zh-CN"/>
              </w:rPr>
              <w:t>项目组作业人员</w:t>
            </w:r>
          </w:p>
        </w:tc>
        <w:tc>
          <w:tcPr>
            <w:tcW w:w="777" w:type="dxa"/>
            <w:shd w:val="clear" w:color="000000" w:fill="FFFFFF"/>
            <w:noWrap w:val="0"/>
            <w:tcMar>
              <w:left w:w="108" w:type="dxa"/>
              <w:right w:w="108" w:type="dxa"/>
            </w:tcMar>
            <w:vAlign w:val="center"/>
          </w:tcPr>
          <w:p w14:paraId="7CBEDF96">
            <w:pPr>
              <w:keepNext w:val="0"/>
              <w:keepLines w:val="0"/>
              <w:pageBreakBefore w:val="0"/>
              <w:widowControl w:val="0"/>
              <w:kinsoku/>
              <w:wordWrap/>
              <w:overflowPunct/>
              <w:topLinePunct w:val="0"/>
              <w:bidi w:val="0"/>
              <w:adjustRightInd/>
              <w:snapToGrid/>
              <w:spacing w:line="400" w:lineRule="exact"/>
              <w:jc w:val="center"/>
              <w:textAlignment w:val="auto"/>
              <w:rPr>
                <w:rFonts w:hint="eastAsia" w:ascii="宋体" w:hAnsi="宋体" w:eastAsia="宋体" w:cs="宋体"/>
                <w:sz w:val="24"/>
                <w:highlight w:val="none"/>
              </w:rPr>
            </w:pPr>
            <w:r>
              <w:rPr>
                <w:rFonts w:hint="eastAsia" w:ascii="宋体" w:hAnsi="宋体" w:cs="宋体"/>
                <w:sz w:val="24"/>
                <w:highlight w:val="none"/>
                <w:lang w:val="en-US" w:eastAsia="zh-CN"/>
              </w:rPr>
              <w:t>8</w:t>
            </w:r>
            <w:r>
              <w:rPr>
                <w:rFonts w:hint="eastAsia" w:ascii="宋体" w:hAnsi="宋体" w:eastAsia="宋体" w:cs="宋体"/>
                <w:sz w:val="24"/>
                <w:highlight w:val="none"/>
              </w:rPr>
              <w:t>分</w:t>
            </w:r>
          </w:p>
        </w:tc>
        <w:tc>
          <w:tcPr>
            <w:tcW w:w="6649" w:type="dxa"/>
            <w:shd w:val="clear" w:color="000000" w:fill="FFFFFF"/>
            <w:noWrap w:val="0"/>
            <w:tcMar>
              <w:left w:w="108" w:type="dxa"/>
              <w:right w:w="108" w:type="dxa"/>
            </w:tcMar>
            <w:vAlign w:val="top"/>
          </w:tcPr>
          <w:p w14:paraId="12D1FFF8">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拟投入项目组作业人员(不含项目负责人)数量满足招标要求</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5人</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的基础上，每增加1人加</w:t>
            </w: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分，最多加</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分。</w:t>
            </w:r>
          </w:p>
          <w:p w14:paraId="67C28460">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注</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14:textFill>
                  <w14:solidFill>
                    <w14:schemeClr w14:val="tx1"/>
                  </w14:solidFill>
                </w14:textFill>
              </w:rPr>
              <w:t>作业人员数量不满足招标要求的本项不得分，投标文件中需提供投标人为其缴纳的最近三个月中任意一个月的社保证明材料，否则不得分。</w:t>
            </w:r>
          </w:p>
          <w:p w14:paraId="65EB20DE">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left"/>
              <w:textAlignment w:val="auto"/>
              <w:rPr>
                <w:rFonts w:hint="eastAsia" w:ascii="宋体" w:hAnsi="宋体" w:eastAsia="宋体" w:cs="宋体"/>
                <w:sz w:val="24"/>
                <w:highlight w:val="none"/>
                <w:lang w:val="en-US" w:eastAsia="zh-CN"/>
              </w:rPr>
            </w:pPr>
            <w:r>
              <w:rPr>
                <w:rFonts w:hint="eastAsia" w:ascii="宋体" w:hAnsi="宋体" w:cs="宋体"/>
                <w:kern w:val="2"/>
                <w:sz w:val="24"/>
                <w:highlight w:val="none"/>
                <w:lang w:val="en-US" w:eastAsia="zh-CN" w:bidi="ar-SA"/>
              </w:rPr>
              <w:t>2</w:t>
            </w:r>
            <w:r>
              <w:rPr>
                <w:rFonts w:hint="eastAsia" w:ascii="宋体" w:hAnsi="宋体" w:eastAsia="宋体" w:cs="宋体"/>
                <w:kern w:val="2"/>
                <w:sz w:val="24"/>
                <w:highlight w:val="none"/>
                <w:lang w:val="en-US" w:eastAsia="zh-CN" w:bidi="ar-SA"/>
              </w:rPr>
              <w:t>、</w:t>
            </w:r>
            <w:r>
              <w:rPr>
                <w:rFonts w:hint="eastAsia" w:ascii="宋体" w:hAnsi="宋体" w:eastAsia="宋体" w:cs="宋体"/>
                <w:color w:val="000000" w:themeColor="text1"/>
                <w:sz w:val="24"/>
                <w:szCs w:val="24"/>
                <w:highlight w:val="none"/>
                <w14:textFill>
                  <w14:solidFill>
                    <w14:schemeClr w14:val="tx1"/>
                  </w14:solidFill>
                </w14:textFill>
              </w:rPr>
              <w:t>拟投入项目组作业人员(不含项目负责人)</w:t>
            </w:r>
            <w:r>
              <w:rPr>
                <w:rFonts w:hint="eastAsia" w:ascii="宋体" w:hAnsi="宋体" w:eastAsia="宋体" w:cs="宋体"/>
                <w:color w:val="000000" w:themeColor="text1"/>
                <w:sz w:val="24"/>
                <w:szCs w:val="24"/>
                <w:highlight w:val="none"/>
                <w:lang w:val="en-US" w:eastAsia="zh-CN"/>
                <w14:textFill>
                  <w14:solidFill>
                    <w14:schemeClr w14:val="tx1"/>
                  </w14:solidFill>
                </w14:textFill>
              </w:rPr>
              <w:t>具有</w:t>
            </w:r>
            <w:r>
              <w:rPr>
                <w:rFonts w:hint="eastAsia" w:ascii="宋体" w:hAnsi="宋体" w:cs="宋体"/>
                <w:color w:val="000000" w:themeColor="text1"/>
                <w:sz w:val="24"/>
                <w:szCs w:val="24"/>
                <w:highlight w:val="none"/>
                <w:lang w:val="en-US" w:eastAsia="zh-CN"/>
                <w14:textFill>
                  <w14:solidFill>
                    <w14:schemeClr w14:val="tx1"/>
                  </w14:solidFill>
                </w14:textFill>
              </w:rPr>
              <w:t>建设工程专业中级及以上工程师职称</w:t>
            </w:r>
            <w:r>
              <w:rPr>
                <w:rFonts w:hint="eastAsia" w:ascii="宋体" w:hAnsi="宋体" w:eastAsia="宋体" w:cs="宋体"/>
                <w:sz w:val="24"/>
                <w:highlight w:val="none"/>
              </w:rPr>
              <w:t>的得</w:t>
            </w:r>
            <w:r>
              <w:rPr>
                <w:rFonts w:hint="eastAsia" w:ascii="宋体" w:hAnsi="宋体" w:cs="宋体"/>
                <w:sz w:val="24"/>
                <w:highlight w:val="none"/>
                <w:lang w:val="en-US" w:eastAsia="zh-CN"/>
              </w:rPr>
              <w:t>2</w:t>
            </w:r>
            <w:r>
              <w:rPr>
                <w:rFonts w:hint="eastAsia" w:ascii="宋体" w:hAnsi="宋体" w:eastAsia="宋体" w:cs="宋体"/>
                <w:sz w:val="24"/>
                <w:highlight w:val="none"/>
              </w:rPr>
              <w:t>分；初级职称的不得分。</w:t>
            </w:r>
            <w:r>
              <w:rPr>
                <w:rFonts w:hint="eastAsia" w:ascii="宋体" w:hAnsi="宋体" w:eastAsia="宋体" w:cs="宋体"/>
                <w:sz w:val="24"/>
                <w:highlight w:val="none"/>
                <w:lang w:val="en-US" w:eastAsia="zh-CN"/>
              </w:rPr>
              <w:t>本小项最高得</w:t>
            </w:r>
            <w:r>
              <w:rPr>
                <w:rFonts w:hint="eastAsia" w:ascii="宋体" w:hAnsi="宋体" w:cs="宋体"/>
                <w:sz w:val="24"/>
                <w:highlight w:val="none"/>
                <w:lang w:val="en-US" w:eastAsia="zh-CN"/>
              </w:rPr>
              <w:t>2</w:t>
            </w:r>
            <w:r>
              <w:rPr>
                <w:rFonts w:hint="eastAsia" w:ascii="宋体" w:hAnsi="宋体" w:eastAsia="宋体" w:cs="宋体"/>
                <w:sz w:val="24"/>
                <w:highlight w:val="none"/>
                <w:lang w:val="en-US" w:eastAsia="zh-CN"/>
              </w:rPr>
              <w:t>分。</w:t>
            </w:r>
          </w:p>
          <w:p w14:paraId="55E48AFA">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right="0" w:rightChars="0"/>
              <w:jc w:val="left"/>
              <w:textAlignment w:val="auto"/>
              <w:rPr>
                <w:rFonts w:hint="eastAsia" w:ascii="宋体" w:hAnsi="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sz w:val="24"/>
                <w:highlight w:val="none"/>
              </w:rPr>
              <w:t>注：投标文件提供人员相关证书及投标人为其缴纳的近三个月内任意一个月的社保证明扫描件，未提供的不得分。</w:t>
            </w:r>
          </w:p>
          <w:p w14:paraId="531752BD">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2"/>
                <w:sz w:val="24"/>
                <w:szCs w:val="24"/>
                <w:highlight w:val="none"/>
                <w:lang w:val="en-US" w:eastAsia="zh-CN" w:bidi="ar-SA"/>
                <w14:textFill>
                  <w14:solidFill>
                    <w14:schemeClr w14:val="tx1"/>
                  </w14:solidFill>
                </w14:textFill>
              </w:rPr>
              <w:t>3</w:t>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投标人为拟投入本项目的项目组作业人员(不含项目</w:t>
            </w:r>
            <w:r>
              <w:rPr>
                <w:rFonts w:hint="eastAsia" w:ascii="宋体" w:hAnsi="宋体" w:eastAsia="宋体" w:cs="宋体"/>
                <w:color w:val="000000" w:themeColor="text1"/>
                <w:sz w:val="24"/>
                <w:szCs w:val="24"/>
                <w:highlight w:val="none"/>
                <w:lang w:val="en-US" w:eastAsia="zh-CN"/>
                <w14:textFill>
                  <w14:solidFill>
                    <w14:schemeClr w14:val="tx1"/>
                  </w14:solidFill>
                </w14:textFill>
              </w:rPr>
              <w:t>负责</w:t>
            </w:r>
            <w:r>
              <w:rPr>
                <w:rFonts w:hint="eastAsia" w:ascii="宋体" w:hAnsi="宋体" w:eastAsia="宋体" w:cs="宋体"/>
                <w:color w:val="000000" w:themeColor="text1"/>
                <w:sz w:val="24"/>
                <w:szCs w:val="24"/>
                <w:highlight w:val="none"/>
                <w14:textFill>
                  <w14:solidFill>
                    <w14:schemeClr w14:val="tx1"/>
                  </w14:solidFill>
                </w14:textFill>
              </w:rPr>
              <w:t>人</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投保(或承诺投保)意外伤害险≥50万元的得</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意外伤害险≥30万元的得</w:t>
            </w:r>
            <w:r>
              <w:rPr>
                <w:rFonts w:hint="eastAsia" w:ascii="宋体" w:hAnsi="宋体" w:cs="宋体"/>
                <w:color w:val="000000" w:themeColor="text1"/>
                <w:sz w:val="24"/>
                <w:szCs w:val="24"/>
                <w:highlight w:val="none"/>
                <w:lang w:val="en-US" w:eastAsia="zh-CN"/>
                <w14:textFill>
                  <w14:solidFill>
                    <w14:schemeClr w14:val="tx1"/>
                  </w14:solidFill>
                </w14:textFill>
              </w:rPr>
              <w:t>1.5</w:t>
            </w:r>
            <w:r>
              <w:rPr>
                <w:rFonts w:hint="eastAsia" w:ascii="宋体" w:hAnsi="宋体" w:eastAsia="宋体" w:cs="宋体"/>
                <w:color w:val="000000" w:themeColor="text1"/>
                <w:sz w:val="24"/>
                <w:szCs w:val="24"/>
                <w:highlight w:val="none"/>
                <w14:textFill>
                  <w14:solidFill>
                    <w14:schemeClr w14:val="tx1"/>
                  </w14:solidFill>
                </w14:textFill>
              </w:rPr>
              <w:t>分。</w:t>
            </w:r>
          </w:p>
          <w:p w14:paraId="1585CDE9">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left"/>
              <w:textAlignment w:val="auto"/>
              <w:rPr>
                <w:rFonts w:hint="eastAsia" w:ascii="宋体" w:hAnsi="宋体" w:eastAsia="宋体" w:cs="宋体"/>
                <w:b/>
                <w:sz w:val="24"/>
                <w:highlight w:val="none"/>
              </w:rPr>
            </w:pPr>
            <w:r>
              <w:rPr>
                <w:rFonts w:hint="eastAsia" w:ascii="宋体" w:hAnsi="宋体" w:eastAsia="宋体" w:cs="宋体"/>
                <w:b/>
                <w:bCs/>
                <w:color w:val="000000" w:themeColor="text1"/>
                <w:sz w:val="24"/>
                <w:szCs w:val="24"/>
                <w:highlight w:val="none"/>
                <w14:textFill>
                  <w14:solidFill>
                    <w14:schemeClr w14:val="tx1"/>
                  </w14:solidFill>
                </w14:textFill>
              </w:rPr>
              <w:t>注</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14:textFill>
                  <w14:solidFill>
                    <w14:schemeClr w14:val="tx1"/>
                  </w14:solidFill>
                </w14:textFill>
              </w:rPr>
              <w:t>投标文件中需提供保单扫描件或承诺函</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14:textFill>
                  <w14:solidFill>
                    <w14:schemeClr w14:val="tx1"/>
                  </w14:solidFill>
                </w14:textFill>
              </w:rPr>
              <w:t>格式自拟</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14:textFill>
                  <w14:solidFill>
                    <w14:schemeClr w14:val="tx1"/>
                  </w14:solidFill>
                </w14:textFill>
              </w:rPr>
              <w:t>未提供的本项不得分。</w:t>
            </w:r>
          </w:p>
        </w:tc>
      </w:tr>
      <w:tr w14:paraId="039AB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98" w:hRule="atLeast"/>
          <w:jc w:val="center"/>
        </w:trPr>
        <w:tc>
          <w:tcPr>
            <w:tcW w:w="835" w:type="dxa"/>
            <w:shd w:val="clear" w:color="000000" w:fill="FFFFFF"/>
            <w:noWrap w:val="0"/>
            <w:tcMar>
              <w:left w:w="108" w:type="dxa"/>
              <w:right w:w="108" w:type="dxa"/>
            </w:tcMar>
            <w:vAlign w:val="center"/>
          </w:tcPr>
          <w:p w14:paraId="3510084C">
            <w:pPr>
              <w:keepNext w:val="0"/>
              <w:keepLines w:val="0"/>
              <w:pageBreakBefore w:val="0"/>
              <w:widowControl w:val="0"/>
              <w:kinsoku/>
              <w:wordWrap/>
              <w:overflowPunct/>
              <w:topLinePunct w:val="0"/>
              <w:bidi w:val="0"/>
              <w:adjustRightInd/>
              <w:snapToGrid/>
              <w:spacing w:line="400" w:lineRule="exact"/>
              <w:jc w:val="center"/>
              <w:textAlignment w:val="auto"/>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3</w:t>
            </w:r>
          </w:p>
        </w:tc>
        <w:tc>
          <w:tcPr>
            <w:tcW w:w="1471" w:type="dxa"/>
            <w:shd w:val="clear" w:color="000000" w:fill="FFFFFF"/>
            <w:noWrap w:val="0"/>
            <w:tcMar>
              <w:left w:w="108" w:type="dxa"/>
              <w:right w:w="108" w:type="dxa"/>
            </w:tcMar>
            <w:vAlign w:val="center"/>
          </w:tcPr>
          <w:p w14:paraId="364F6DC4">
            <w:pPr>
              <w:keepNext w:val="0"/>
              <w:keepLines w:val="0"/>
              <w:pageBreakBefore w:val="0"/>
              <w:widowControl w:val="0"/>
              <w:kinsoku/>
              <w:wordWrap/>
              <w:overflowPunct/>
              <w:topLinePunct w:val="0"/>
              <w:bidi w:val="0"/>
              <w:adjustRightInd/>
              <w:snapToGrid/>
              <w:spacing w:line="400" w:lineRule="exact"/>
              <w:jc w:val="center"/>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车辆设备配备情况</w:t>
            </w:r>
          </w:p>
        </w:tc>
        <w:tc>
          <w:tcPr>
            <w:tcW w:w="777" w:type="dxa"/>
            <w:shd w:val="clear" w:color="000000" w:fill="FFFFFF"/>
            <w:noWrap w:val="0"/>
            <w:tcMar>
              <w:left w:w="108" w:type="dxa"/>
              <w:right w:w="108" w:type="dxa"/>
            </w:tcMar>
            <w:vAlign w:val="center"/>
          </w:tcPr>
          <w:p w14:paraId="24021CB9">
            <w:pPr>
              <w:keepNext w:val="0"/>
              <w:keepLines w:val="0"/>
              <w:pageBreakBefore w:val="0"/>
              <w:widowControl w:val="0"/>
              <w:kinsoku/>
              <w:wordWrap/>
              <w:overflowPunct/>
              <w:topLinePunct w:val="0"/>
              <w:bidi w:val="0"/>
              <w:adjustRightInd/>
              <w:snapToGrid/>
              <w:spacing w:line="400" w:lineRule="exact"/>
              <w:jc w:val="center"/>
              <w:textAlignment w:val="auto"/>
              <w:rPr>
                <w:rFonts w:hint="eastAsia" w:ascii="宋体" w:hAnsi="宋体" w:eastAsia="宋体" w:cs="宋体"/>
                <w:sz w:val="24"/>
                <w:highlight w:val="none"/>
              </w:rPr>
            </w:pPr>
            <w:r>
              <w:rPr>
                <w:rFonts w:hint="eastAsia" w:ascii="宋体" w:hAnsi="宋体" w:eastAsia="宋体" w:cs="宋体"/>
                <w:sz w:val="24"/>
                <w:highlight w:val="none"/>
                <w:lang w:val="en-US" w:eastAsia="zh-CN"/>
              </w:rPr>
              <w:t>4</w:t>
            </w:r>
            <w:r>
              <w:rPr>
                <w:rFonts w:hint="eastAsia" w:ascii="宋体" w:hAnsi="宋体" w:eastAsia="宋体" w:cs="宋体"/>
                <w:sz w:val="24"/>
                <w:highlight w:val="none"/>
              </w:rPr>
              <w:t>分</w:t>
            </w:r>
          </w:p>
        </w:tc>
        <w:tc>
          <w:tcPr>
            <w:tcW w:w="6649" w:type="dxa"/>
            <w:shd w:val="clear" w:color="000000" w:fill="FFFFFF"/>
            <w:noWrap w:val="0"/>
            <w:tcMar>
              <w:left w:w="108" w:type="dxa"/>
              <w:right w:w="108" w:type="dxa"/>
            </w:tcMar>
            <w:vAlign w:val="top"/>
          </w:tcPr>
          <w:p w14:paraId="062E8208">
            <w:pPr>
              <w:keepNext w:val="0"/>
              <w:keepLines w:val="0"/>
              <w:pageBreakBefore w:val="0"/>
              <w:widowControl w:val="0"/>
              <w:suppressLineNumbers w:val="0"/>
              <w:kinsoku/>
              <w:wordWrap/>
              <w:overflowPunct/>
              <w:topLinePunct w:val="0"/>
              <w:bidi w:val="0"/>
              <w:adjustRightInd/>
              <w:snapToGrid/>
              <w:spacing w:before="0" w:beforeAutospacing="0" w:after="0" w:afterAutospacing="0" w:line="400" w:lineRule="exact"/>
              <w:ind w:left="0" w:right="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根据投标人的</w:t>
            </w:r>
            <w:r>
              <w:rPr>
                <w:rFonts w:hint="eastAsia" w:ascii="宋体" w:hAnsi="宋体" w:eastAsia="宋体" w:cs="宋体"/>
                <w:color w:val="000000" w:themeColor="text1"/>
                <w:sz w:val="24"/>
                <w:szCs w:val="24"/>
                <w:highlight w:val="none"/>
                <w:lang w:val="en-US" w:eastAsia="zh-CN"/>
                <w14:textFill>
                  <w14:solidFill>
                    <w14:schemeClr w14:val="tx1"/>
                  </w14:solidFill>
                </w14:textFill>
              </w:rPr>
              <w:t>车辆设备配备情况进行</w:t>
            </w:r>
            <w:r>
              <w:rPr>
                <w:rFonts w:hint="eastAsia" w:ascii="宋体" w:hAnsi="宋体" w:eastAsia="宋体" w:cs="宋体"/>
                <w:color w:val="000000" w:themeColor="text1"/>
                <w:sz w:val="24"/>
                <w:szCs w:val="24"/>
                <w:highlight w:val="none"/>
                <w14:textFill>
                  <w14:solidFill>
                    <w14:schemeClr w14:val="tx1"/>
                  </w14:solidFill>
                </w14:textFill>
              </w:rPr>
              <w:t>评定：</w:t>
            </w:r>
            <w:r>
              <w:rPr>
                <w:rFonts w:hint="eastAsia" w:ascii="宋体" w:hAnsi="宋体" w:eastAsia="宋体" w:cs="宋体"/>
                <w:color w:val="auto"/>
                <w:sz w:val="24"/>
                <w:szCs w:val="24"/>
                <w:highlight w:val="none"/>
              </w:rPr>
              <w:t>下水道疏通清洗车</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auto"/>
                <w:sz w:val="24"/>
                <w:szCs w:val="24"/>
                <w:highlight w:val="none"/>
              </w:rPr>
              <w:t>吸污车</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吸污净化车</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auto"/>
                <w:sz w:val="24"/>
                <w:szCs w:val="24"/>
                <w:highlight w:val="none"/>
                <w:lang w:val="en-US" w:eastAsia="zh-CN"/>
              </w:rPr>
              <w:t>巡视</w:t>
            </w:r>
            <w:r>
              <w:rPr>
                <w:rFonts w:hint="eastAsia" w:ascii="宋体" w:hAnsi="宋体" w:eastAsia="宋体" w:cs="宋体"/>
                <w:color w:val="auto"/>
                <w:sz w:val="24"/>
                <w:szCs w:val="24"/>
                <w:highlight w:val="none"/>
              </w:rPr>
              <w:t>车</w:t>
            </w:r>
            <w:r>
              <w:rPr>
                <w:rFonts w:hint="eastAsia" w:ascii="宋体" w:hAnsi="宋体" w:eastAsia="宋体" w:cs="宋体"/>
                <w:color w:val="000000" w:themeColor="text1"/>
                <w:sz w:val="24"/>
                <w:szCs w:val="24"/>
                <w:highlight w:val="none"/>
                <w14:textFill>
                  <w14:solidFill>
                    <w14:schemeClr w14:val="tx1"/>
                  </w14:solidFill>
                </w14:textFill>
              </w:rPr>
              <w:t>；以上</w:t>
            </w:r>
            <w:r>
              <w:rPr>
                <w:rFonts w:hint="eastAsia" w:ascii="宋体" w:hAnsi="宋体" w:eastAsia="宋体" w:cs="宋体"/>
                <w:color w:val="000000" w:themeColor="text1"/>
                <w:sz w:val="24"/>
                <w:szCs w:val="24"/>
                <w:highlight w:val="none"/>
                <w:lang w:val="en-US" w:eastAsia="zh-CN"/>
                <w14:textFill>
                  <w14:solidFill>
                    <w14:schemeClr w14:val="tx1"/>
                  </w14:solidFill>
                </w14:textFill>
              </w:rPr>
              <w:t>车辆</w:t>
            </w:r>
            <w:r>
              <w:rPr>
                <w:rFonts w:hint="eastAsia" w:ascii="宋体" w:hAnsi="宋体" w:eastAsia="宋体" w:cs="宋体"/>
                <w:color w:val="000000" w:themeColor="text1"/>
                <w:sz w:val="24"/>
                <w:szCs w:val="24"/>
                <w:highlight w:val="none"/>
                <w14:textFill>
                  <w14:solidFill>
                    <w14:schemeClr w14:val="tx1"/>
                  </w14:solidFill>
                </w14:textFill>
              </w:rPr>
              <w:t>设备每自有或租赁一类的得1分，最高得</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分。</w:t>
            </w:r>
          </w:p>
          <w:p w14:paraId="61803D77">
            <w:pPr>
              <w:keepNext w:val="0"/>
              <w:keepLines w:val="0"/>
              <w:pageBreakBefore w:val="0"/>
              <w:widowControl w:val="0"/>
              <w:suppressLineNumbers w:val="0"/>
              <w:kinsoku/>
              <w:wordWrap/>
              <w:overflowPunct/>
              <w:topLinePunct w:val="0"/>
              <w:bidi w:val="0"/>
              <w:adjustRightInd/>
              <w:snapToGrid/>
              <w:spacing w:before="0" w:beforeAutospacing="0" w:after="0" w:afterAutospacing="0" w:line="400" w:lineRule="exact"/>
              <w:ind w:left="0" w:right="0"/>
              <w:jc w:val="left"/>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注：（1）自有车辆相关材料扫描件包括带有车牌号码的照片、车辆行驶证、车辆购置发票，三者须一一对应，缺一不可；自有设备相关材料包括</w:t>
            </w:r>
            <w:r>
              <w:rPr>
                <w:rFonts w:hint="eastAsia" w:ascii="宋体" w:hAnsi="宋体" w:eastAsia="宋体" w:cs="宋体"/>
                <w:b/>
                <w:color w:val="000000" w:themeColor="text1"/>
                <w:sz w:val="24"/>
                <w:szCs w:val="24"/>
                <w:highlight w:val="none"/>
                <w:lang w:val="en-US" w:eastAsia="zh-CN"/>
                <w14:textFill>
                  <w14:solidFill>
                    <w14:schemeClr w14:val="tx1"/>
                  </w14:solidFill>
                </w14:textFill>
              </w:rPr>
              <w:t>设备</w:t>
            </w:r>
            <w:r>
              <w:rPr>
                <w:rFonts w:hint="eastAsia" w:ascii="宋体" w:hAnsi="宋体" w:eastAsia="宋体" w:cs="宋体"/>
                <w:b/>
                <w:color w:val="000000" w:themeColor="text1"/>
                <w:sz w:val="24"/>
                <w:szCs w:val="24"/>
                <w:highlight w:val="none"/>
                <w14:textFill>
                  <w14:solidFill>
                    <w14:schemeClr w14:val="tx1"/>
                  </w14:solidFill>
                </w14:textFill>
              </w:rPr>
              <w:t>照片、设备购置发票。</w:t>
            </w:r>
          </w:p>
          <w:p w14:paraId="1068E0D4">
            <w:pPr>
              <w:keepNext w:val="0"/>
              <w:keepLines w:val="0"/>
              <w:pageBreakBefore w:val="0"/>
              <w:widowControl w:val="0"/>
              <w:suppressLineNumbers w:val="0"/>
              <w:kinsoku/>
              <w:wordWrap/>
              <w:overflowPunct/>
              <w:topLinePunct w:val="0"/>
              <w:bidi w:val="0"/>
              <w:adjustRightInd/>
              <w:snapToGrid/>
              <w:spacing w:before="0" w:beforeAutospacing="0" w:after="0" w:afterAutospacing="0" w:line="400" w:lineRule="exact"/>
              <w:ind w:left="0" w:right="0"/>
              <w:jc w:val="left"/>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（2）租赁车辆相关材料扫描件包括带有车牌号码的照片或图片、车辆行驶证、车辆购置发票、租赁合同（租期需满足本项目服务期限要求），缺一不可；租赁设备相关材料包括</w:t>
            </w:r>
            <w:r>
              <w:rPr>
                <w:rFonts w:hint="eastAsia" w:ascii="宋体" w:hAnsi="宋体" w:eastAsia="宋体" w:cs="宋体"/>
                <w:b/>
                <w:color w:val="000000" w:themeColor="text1"/>
                <w:sz w:val="24"/>
                <w:szCs w:val="24"/>
                <w:highlight w:val="none"/>
                <w:lang w:val="en-US" w:eastAsia="zh-CN"/>
                <w14:textFill>
                  <w14:solidFill>
                    <w14:schemeClr w14:val="tx1"/>
                  </w14:solidFill>
                </w14:textFill>
              </w:rPr>
              <w:t>设备</w:t>
            </w:r>
            <w:r>
              <w:rPr>
                <w:rFonts w:hint="eastAsia" w:ascii="宋体" w:hAnsi="宋体" w:eastAsia="宋体" w:cs="宋体"/>
                <w:b/>
                <w:color w:val="000000" w:themeColor="text1"/>
                <w:sz w:val="24"/>
                <w:szCs w:val="24"/>
                <w:highlight w:val="none"/>
                <w14:textFill>
                  <w14:solidFill>
                    <w14:schemeClr w14:val="tx1"/>
                  </w14:solidFill>
                </w14:textFill>
              </w:rPr>
              <w:t>照片、设备购置发票及租赁合同。</w:t>
            </w:r>
          </w:p>
          <w:p w14:paraId="546D7069">
            <w:pPr>
              <w:keepNext w:val="0"/>
              <w:keepLines w:val="0"/>
              <w:pageBreakBefore w:val="0"/>
              <w:widowControl w:val="0"/>
              <w:suppressLineNumbers w:val="0"/>
              <w:kinsoku/>
              <w:wordWrap/>
              <w:overflowPunct/>
              <w:topLinePunct w:val="0"/>
              <w:bidi w:val="0"/>
              <w:adjustRightInd/>
              <w:snapToGrid/>
              <w:spacing w:before="0" w:beforeAutospacing="0" w:after="0" w:afterAutospacing="0" w:line="400" w:lineRule="exact"/>
              <w:ind w:left="0" w:leftChars="0" w:right="0" w:rightChars="0"/>
              <w:jc w:val="left"/>
              <w:textAlignment w:val="auto"/>
              <w:rPr>
                <w:rFonts w:hint="eastAsia" w:ascii="宋体" w:hAnsi="宋体" w:eastAsia="宋体" w:cs="宋体"/>
                <w:b/>
                <w:sz w:val="24"/>
                <w:highlight w:val="none"/>
              </w:rPr>
            </w:pPr>
            <w:r>
              <w:rPr>
                <w:rFonts w:hint="eastAsia" w:ascii="宋体" w:hAnsi="宋体" w:eastAsia="宋体" w:cs="宋体"/>
                <w:b/>
                <w:color w:val="000000" w:themeColor="text1"/>
                <w:sz w:val="24"/>
                <w:szCs w:val="24"/>
                <w:highlight w:val="none"/>
                <w14:textFill>
                  <w14:solidFill>
                    <w14:schemeClr w14:val="tx1"/>
                  </w14:solidFill>
                </w14:textFill>
              </w:rPr>
              <w:t>（3）投标专业</w:t>
            </w:r>
            <w:r>
              <w:rPr>
                <w:rFonts w:hint="eastAsia" w:ascii="宋体" w:hAnsi="宋体" w:eastAsia="宋体" w:cs="宋体"/>
                <w:b/>
                <w:color w:val="000000" w:themeColor="text1"/>
                <w:sz w:val="24"/>
                <w:szCs w:val="24"/>
                <w:highlight w:val="none"/>
                <w:lang w:eastAsia="zh-CN"/>
                <w14:textFill>
                  <w14:solidFill>
                    <w14:schemeClr w14:val="tx1"/>
                  </w14:solidFill>
                </w14:textFill>
              </w:rPr>
              <w:t>作业</w:t>
            </w:r>
            <w:r>
              <w:rPr>
                <w:rFonts w:hint="eastAsia" w:ascii="宋体" w:hAnsi="宋体" w:eastAsia="宋体" w:cs="宋体"/>
                <w:b/>
                <w:color w:val="000000" w:themeColor="text1"/>
                <w:sz w:val="24"/>
                <w:szCs w:val="24"/>
                <w:highlight w:val="none"/>
                <w14:textFill>
                  <w14:solidFill>
                    <w14:schemeClr w14:val="tx1"/>
                  </w14:solidFill>
                </w14:textFill>
              </w:rPr>
              <w:t>机械及设备名称可与上述名称不完全一致，但功能须一致或完全覆盖，不完全一致的需提供说明及必要证明材料。</w:t>
            </w:r>
          </w:p>
        </w:tc>
      </w:tr>
    </w:tbl>
    <w:p w14:paraId="3E425E34">
      <w:pPr>
        <w:spacing w:line="440" w:lineRule="exact"/>
        <w:ind w:firstLine="241" w:firstLineChars="1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4、综合实力1</w:t>
      </w:r>
      <w:r>
        <w:rPr>
          <w:rFonts w:hint="eastAsia" w:ascii="宋体" w:hAnsi="宋体" w:eastAsia="宋体" w:cs="宋体"/>
          <w:b/>
          <w:color w:val="auto"/>
          <w:sz w:val="24"/>
          <w:szCs w:val="24"/>
          <w:highlight w:val="none"/>
          <w:lang w:val="en-US" w:eastAsia="zh-CN"/>
        </w:rPr>
        <w:t>4</w:t>
      </w:r>
      <w:r>
        <w:rPr>
          <w:rFonts w:hint="eastAsia" w:ascii="宋体" w:hAnsi="宋体" w:eastAsia="宋体" w:cs="宋体"/>
          <w:b/>
          <w:color w:val="auto"/>
          <w:sz w:val="24"/>
          <w:szCs w:val="24"/>
          <w:highlight w:val="none"/>
        </w:rPr>
        <w:t>分</w:t>
      </w:r>
    </w:p>
    <w:tbl>
      <w:tblPr>
        <w:tblStyle w:val="5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835"/>
        <w:gridCol w:w="1471"/>
        <w:gridCol w:w="777"/>
        <w:gridCol w:w="6649"/>
      </w:tblGrid>
      <w:tr w14:paraId="7B3B0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12" w:hRule="atLeast"/>
          <w:jc w:val="center"/>
        </w:trPr>
        <w:tc>
          <w:tcPr>
            <w:tcW w:w="835" w:type="dxa"/>
            <w:shd w:val="clear" w:color="000000" w:fill="FFFFFF"/>
            <w:noWrap w:val="0"/>
            <w:tcMar>
              <w:left w:w="108" w:type="dxa"/>
              <w:right w:w="108" w:type="dxa"/>
            </w:tcMar>
            <w:vAlign w:val="center"/>
          </w:tcPr>
          <w:p w14:paraId="36B21BB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序号</w:t>
            </w:r>
          </w:p>
        </w:tc>
        <w:tc>
          <w:tcPr>
            <w:tcW w:w="1471" w:type="dxa"/>
            <w:shd w:val="clear" w:color="000000" w:fill="FFFFFF"/>
            <w:noWrap w:val="0"/>
            <w:tcMar>
              <w:left w:w="108" w:type="dxa"/>
              <w:right w:w="108" w:type="dxa"/>
            </w:tcMar>
            <w:vAlign w:val="center"/>
          </w:tcPr>
          <w:p w14:paraId="15C8EC4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评审因素</w:t>
            </w:r>
          </w:p>
        </w:tc>
        <w:tc>
          <w:tcPr>
            <w:tcW w:w="777" w:type="dxa"/>
            <w:shd w:val="clear" w:color="000000" w:fill="FFFFFF"/>
            <w:noWrap w:val="0"/>
            <w:tcMar>
              <w:left w:w="108" w:type="dxa"/>
              <w:right w:w="108" w:type="dxa"/>
            </w:tcMar>
            <w:vAlign w:val="center"/>
          </w:tcPr>
          <w:p w14:paraId="2971992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权值</w:t>
            </w:r>
          </w:p>
        </w:tc>
        <w:tc>
          <w:tcPr>
            <w:tcW w:w="6649" w:type="dxa"/>
            <w:shd w:val="clear" w:color="000000" w:fill="FFFFFF"/>
            <w:noWrap w:val="0"/>
            <w:tcMar>
              <w:left w:w="108" w:type="dxa"/>
              <w:right w:w="108" w:type="dxa"/>
            </w:tcMar>
            <w:vAlign w:val="center"/>
          </w:tcPr>
          <w:p w14:paraId="5E48BC3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评分标准</w:t>
            </w:r>
          </w:p>
        </w:tc>
      </w:tr>
      <w:tr w14:paraId="09BB8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841" w:hRule="atLeast"/>
          <w:jc w:val="center"/>
        </w:trPr>
        <w:tc>
          <w:tcPr>
            <w:tcW w:w="835" w:type="dxa"/>
            <w:shd w:val="clear" w:color="000000" w:fill="FFFFFF"/>
            <w:noWrap w:val="0"/>
            <w:tcMar>
              <w:left w:w="108" w:type="dxa"/>
              <w:right w:w="108" w:type="dxa"/>
            </w:tcMar>
            <w:vAlign w:val="center"/>
          </w:tcPr>
          <w:p w14:paraId="6227F0F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w:t>
            </w:r>
          </w:p>
        </w:tc>
        <w:tc>
          <w:tcPr>
            <w:tcW w:w="1471" w:type="dxa"/>
            <w:shd w:val="clear" w:color="000000" w:fill="FFFFFF"/>
            <w:noWrap w:val="0"/>
            <w:tcMar>
              <w:left w:w="108" w:type="dxa"/>
              <w:right w:w="108" w:type="dxa"/>
            </w:tcMar>
            <w:vAlign w:val="center"/>
          </w:tcPr>
          <w:p w14:paraId="1873E26A">
            <w:pPr>
              <w:keepNext w:val="0"/>
              <w:keepLines w:val="0"/>
              <w:pageBreakBefore w:val="0"/>
              <w:widowControl w:val="0"/>
              <w:suppressAutoHyphens/>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商务条件响应性</w:t>
            </w:r>
          </w:p>
        </w:tc>
        <w:tc>
          <w:tcPr>
            <w:tcW w:w="777" w:type="dxa"/>
            <w:shd w:val="clear" w:color="000000" w:fill="FFFFFF"/>
            <w:noWrap w:val="0"/>
            <w:tcMar>
              <w:left w:w="108" w:type="dxa"/>
              <w:right w:w="108" w:type="dxa"/>
            </w:tcMar>
            <w:vAlign w:val="center"/>
          </w:tcPr>
          <w:p w14:paraId="4D3983E7">
            <w:pPr>
              <w:keepNext w:val="0"/>
              <w:keepLines w:val="0"/>
              <w:pageBreakBefore w:val="0"/>
              <w:widowControl w:val="0"/>
              <w:suppressAutoHyphens/>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分</w:t>
            </w:r>
          </w:p>
        </w:tc>
        <w:tc>
          <w:tcPr>
            <w:tcW w:w="6649" w:type="dxa"/>
            <w:shd w:val="clear" w:color="000000" w:fill="FFFFFF"/>
            <w:noWrap w:val="0"/>
            <w:tcMar>
              <w:left w:w="108" w:type="dxa"/>
              <w:right w:w="108" w:type="dxa"/>
            </w:tcMar>
            <w:vAlign w:val="center"/>
          </w:tcPr>
          <w:p w14:paraId="325CFBD5">
            <w:pPr>
              <w:keepNext w:val="0"/>
              <w:keepLines w:val="0"/>
              <w:pageBreakBefore w:val="0"/>
              <w:widowControl w:val="0"/>
              <w:suppressAutoHyphens/>
              <w:kinsoku/>
              <w:wordWrap/>
              <w:overflowPunct/>
              <w:topLinePunct w:val="0"/>
              <w:autoSpaceDE/>
              <w:autoSpaceDN/>
              <w:bidi w:val="0"/>
              <w:adjustRightInd/>
              <w:snapToGrid/>
              <w:spacing w:line="400" w:lineRule="exac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投标人对招标文件中合同条款等商务条件完全响应的得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分（共</w:t>
            </w:r>
            <w:r>
              <w:rPr>
                <w:rFonts w:hint="eastAsia" w:ascii="宋体" w:hAnsi="宋体" w:eastAsia="宋体" w:cs="宋体"/>
                <w:color w:val="000000" w:themeColor="text1"/>
                <w:sz w:val="24"/>
                <w:szCs w:val="24"/>
                <w:highlight w:val="none"/>
                <w:lang w:val="en-US" w:eastAsia="zh-CN"/>
                <w14:textFill>
                  <w14:solidFill>
                    <w14:schemeClr w14:val="tx1"/>
                  </w14:solidFill>
                </w14:textFill>
              </w:rPr>
              <w:t>25</w:t>
            </w:r>
            <w:r>
              <w:rPr>
                <w:rFonts w:hint="eastAsia" w:ascii="宋体" w:hAnsi="宋体" w:eastAsia="宋体" w:cs="宋体"/>
                <w:color w:val="000000" w:themeColor="text1"/>
                <w:sz w:val="24"/>
                <w:szCs w:val="24"/>
                <w:highlight w:val="none"/>
                <w14:textFill>
                  <w14:solidFill>
                    <w14:schemeClr w14:val="tx1"/>
                  </w14:solidFill>
                </w14:textFill>
              </w:rPr>
              <w:t>条）；有负偏离条款，每项扣0.</w:t>
            </w:r>
            <w:r>
              <w:rPr>
                <w:rFonts w:hint="eastAsia" w:ascii="宋体" w:hAnsi="宋体" w:eastAsia="宋体" w:cs="宋体"/>
                <w:color w:val="000000" w:themeColor="text1"/>
                <w:sz w:val="24"/>
                <w:szCs w:val="24"/>
                <w:highlight w:val="none"/>
                <w:lang w:val="en-US" w:eastAsia="zh-CN"/>
                <w14:textFill>
                  <w14:solidFill>
                    <w14:schemeClr w14:val="tx1"/>
                  </w14:solidFill>
                </w14:textFill>
              </w:rPr>
              <w:t>24</w:t>
            </w:r>
            <w:r>
              <w:rPr>
                <w:rFonts w:hint="eastAsia" w:ascii="宋体" w:hAnsi="宋体" w:eastAsia="宋体" w:cs="宋体"/>
                <w:color w:val="000000" w:themeColor="text1"/>
                <w:sz w:val="24"/>
                <w:szCs w:val="24"/>
                <w:highlight w:val="none"/>
                <w14:textFill>
                  <w14:solidFill>
                    <w14:schemeClr w14:val="tx1"/>
                  </w14:solidFill>
                </w14:textFill>
              </w:rPr>
              <w:t>分</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14:textFill>
                  <w14:solidFill>
                    <w14:schemeClr w14:val="tx1"/>
                  </w14:solidFill>
                </w14:textFill>
              </w:rPr>
              <w:t>（付款方式必须完全响应，</w:t>
            </w:r>
            <w:r>
              <w:rPr>
                <w:rFonts w:hint="eastAsia" w:ascii="宋体" w:hAnsi="宋体" w:eastAsia="宋体" w:cs="宋体"/>
                <w:b/>
                <w:color w:val="000000" w:themeColor="text1"/>
                <w:sz w:val="24"/>
                <w:szCs w:val="24"/>
                <w:highlight w:val="none"/>
                <w14:textFill>
                  <w14:solidFill>
                    <w14:schemeClr w14:val="tx1"/>
                  </w14:solidFill>
                </w14:textFill>
              </w:rPr>
              <w:t>否则将作</w:t>
            </w:r>
            <w:r>
              <w:rPr>
                <w:rFonts w:hint="eastAsia" w:ascii="宋体" w:hAnsi="宋体" w:eastAsia="宋体" w:cs="宋体"/>
                <w:b/>
                <w:color w:val="000000" w:themeColor="text1"/>
                <w:sz w:val="24"/>
                <w:szCs w:val="24"/>
                <w:highlight w:val="none"/>
                <w:lang w:val="zh-CN"/>
                <w14:textFill>
                  <w14:solidFill>
                    <w14:schemeClr w14:val="tx1"/>
                  </w14:solidFill>
                </w14:textFill>
              </w:rPr>
              <w:t>无效投标处理</w:t>
            </w:r>
            <w:r>
              <w:rPr>
                <w:rFonts w:hint="eastAsia" w:ascii="宋体" w:hAnsi="宋体" w:eastAsia="宋体" w:cs="宋体"/>
                <w:b/>
                <w:bCs/>
                <w:color w:val="000000" w:themeColor="text1"/>
                <w:sz w:val="24"/>
                <w:szCs w:val="24"/>
                <w:highlight w:val="none"/>
                <w14:textFill>
                  <w14:solidFill>
                    <w14:schemeClr w14:val="tx1"/>
                  </w14:solidFill>
                </w14:textFill>
              </w:rPr>
              <w:t>）</w:t>
            </w:r>
          </w:p>
        </w:tc>
      </w:tr>
      <w:tr w14:paraId="7DE88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664" w:hRule="atLeast"/>
          <w:jc w:val="center"/>
        </w:trPr>
        <w:tc>
          <w:tcPr>
            <w:tcW w:w="835" w:type="dxa"/>
            <w:shd w:val="clear" w:color="000000" w:fill="FFFFFF"/>
            <w:noWrap w:val="0"/>
            <w:tcMar>
              <w:left w:w="108" w:type="dxa"/>
              <w:right w:w="108" w:type="dxa"/>
            </w:tcMar>
            <w:vAlign w:val="center"/>
          </w:tcPr>
          <w:p w14:paraId="5D9CD17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w:t>
            </w:r>
          </w:p>
        </w:tc>
        <w:tc>
          <w:tcPr>
            <w:tcW w:w="1471" w:type="dxa"/>
            <w:shd w:val="clear" w:color="000000" w:fill="FFFFFF"/>
            <w:noWrap w:val="0"/>
            <w:tcMar>
              <w:left w:w="108" w:type="dxa"/>
              <w:right w:w="108" w:type="dxa"/>
            </w:tcMar>
            <w:vAlign w:val="center"/>
          </w:tcPr>
          <w:p w14:paraId="3C89DD7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业绩情况</w:t>
            </w:r>
          </w:p>
        </w:tc>
        <w:tc>
          <w:tcPr>
            <w:tcW w:w="777" w:type="dxa"/>
            <w:shd w:val="clear" w:color="000000" w:fill="FFFFFF"/>
            <w:noWrap w:val="0"/>
            <w:tcMar>
              <w:left w:w="108" w:type="dxa"/>
              <w:right w:w="108" w:type="dxa"/>
            </w:tcMar>
            <w:vAlign w:val="center"/>
          </w:tcPr>
          <w:p w14:paraId="1D6687E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8</w:t>
            </w:r>
            <w:r>
              <w:rPr>
                <w:rFonts w:hint="eastAsia" w:ascii="宋体" w:hAnsi="宋体" w:eastAsia="宋体" w:cs="宋体"/>
                <w:color w:val="000000" w:themeColor="text1"/>
                <w:sz w:val="24"/>
                <w:highlight w:val="none"/>
                <w14:textFill>
                  <w14:solidFill>
                    <w14:schemeClr w14:val="tx1"/>
                  </w14:solidFill>
                </w14:textFill>
              </w:rPr>
              <w:t>分</w:t>
            </w:r>
          </w:p>
        </w:tc>
        <w:tc>
          <w:tcPr>
            <w:tcW w:w="6649" w:type="dxa"/>
            <w:shd w:val="clear" w:color="000000" w:fill="FFFFFF"/>
            <w:noWrap w:val="0"/>
            <w:tcMar>
              <w:left w:w="108" w:type="dxa"/>
              <w:right w:w="108" w:type="dxa"/>
            </w:tcMar>
            <w:vAlign w:val="center"/>
          </w:tcPr>
          <w:p w14:paraId="70389F21">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val="0"/>
                <w:bCs w:val="0"/>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根据投标人自20</w:t>
            </w:r>
            <w:r>
              <w:rPr>
                <w:rFonts w:hint="eastAsia" w:ascii="宋体" w:hAnsi="宋体" w:eastAsia="宋体" w:cs="宋体"/>
                <w:color w:val="000000" w:themeColor="text1"/>
                <w:sz w:val="24"/>
                <w:highlight w:val="none"/>
                <w:lang w:val="en-US" w:eastAsia="zh-CN"/>
                <w14:textFill>
                  <w14:solidFill>
                    <w14:schemeClr w14:val="tx1"/>
                  </w14:solidFill>
                </w14:textFill>
              </w:rPr>
              <w:t>23</w:t>
            </w:r>
            <w:r>
              <w:rPr>
                <w:rFonts w:hint="eastAsia" w:ascii="宋体" w:hAnsi="宋体" w:eastAsia="宋体" w:cs="宋体"/>
                <w:color w:val="000000" w:themeColor="text1"/>
                <w:sz w:val="24"/>
                <w:highlight w:val="none"/>
                <w14:textFill>
                  <w14:solidFill>
                    <w14:schemeClr w14:val="tx1"/>
                  </w14:solidFill>
                </w14:textFill>
              </w:rPr>
              <w:t>年1月1日至今（以合同签订日期为准）完成的</w:t>
            </w:r>
            <w:r>
              <w:rPr>
                <w:rFonts w:hint="eastAsia" w:ascii="宋体" w:hAnsi="宋体" w:eastAsia="宋体" w:cs="宋体"/>
                <w:b/>
                <w:color w:val="000000" w:themeColor="text1"/>
                <w:sz w:val="24"/>
                <w:highlight w:val="none"/>
                <w:lang w:val="en-US" w:eastAsia="zh-CN"/>
                <w14:textFill>
                  <w14:solidFill>
                    <w14:schemeClr w14:val="tx1"/>
                  </w14:solidFill>
                </w14:textFill>
              </w:rPr>
              <w:t>雨污水管</w:t>
            </w:r>
            <w:r>
              <w:rPr>
                <w:rFonts w:hint="eastAsia" w:ascii="宋体" w:hAnsi="宋体" w:cs="宋体"/>
                <w:b/>
                <w:color w:val="000000" w:themeColor="text1"/>
                <w:sz w:val="24"/>
                <w:highlight w:val="none"/>
                <w:lang w:val="en-US" w:eastAsia="zh-CN"/>
                <w14:textFill>
                  <w14:solidFill>
                    <w14:schemeClr w14:val="tx1"/>
                  </w14:solidFill>
                </w14:textFill>
              </w:rPr>
              <w:t>网</w:t>
            </w:r>
            <w:r>
              <w:rPr>
                <w:rFonts w:hint="eastAsia" w:ascii="宋体" w:hAnsi="宋体" w:eastAsia="宋体" w:cs="宋体"/>
                <w:b/>
                <w:color w:val="000000" w:themeColor="text1"/>
                <w:sz w:val="24"/>
                <w:highlight w:val="none"/>
                <w:lang w:val="en-US" w:eastAsia="zh-CN"/>
                <w14:textFill>
                  <w14:solidFill>
                    <w14:schemeClr w14:val="tx1"/>
                  </w14:solidFill>
                </w14:textFill>
              </w:rPr>
              <w:t>养护</w:t>
            </w:r>
            <w:r>
              <w:rPr>
                <w:rFonts w:hint="eastAsia" w:ascii="宋体" w:hAnsi="宋体" w:eastAsia="宋体" w:cs="宋体"/>
                <w:color w:val="000000" w:themeColor="text1"/>
                <w:sz w:val="24"/>
                <w:highlight w:val="none"/>
                <w14:textFill>
                  <w14:solidFill>
                    <w14:schemeClr w14:val="tx1"/>
                  </w14:solidFill>
                </w14:textFill>
              </w:rPr>
              <w:t>业绩情况进行评定，有一个得</w:t>
            </w:r>
            <w:r>
              <w:rPr>
                <w:rFonts w:hint="eastAsia" w:ascii="宋体" w:hAnsi="宋体" w:eastAsia="宋体" w:cs="宋体"/>
                <w:color w:val="000000" w:themeColor="text1"/>
                <w:sz w:val="24"/>
                <w:highlight w:val="none"/>
                <w:lang w:val="en-US" w:eastAsia="zh-CN"/>
                <w14:textFill>
                  <w14:solidFill>
                    <w14:schemeClr w14:val="tx1"/>
                  </w14:solidFill>
                </w14:textFill>
              </w:rPr>
              <w:t>2</w:t>
            </w:r>
            <w:r>
              <w:rPr>
                <w:rFonts w:hint="eastAsia" w:ascii="宋体" w:hAnsi="宋体" w:eastAsia="宋体" w:cs="宋体"/>
                <w:color w:val="000000" w:themeColor="text1"/>
                <w:sz w:val="24"/>
                <w:highlight w:val="none"/>
                <w14:textFill>
                  <w14:solidFill>
                    <w14:schemeClr w14:val="tx1"/>
                  </w14:solidFill>
                </w14:textFill>
              </w:rPr>
              <w:t>分，最高得</w:t>
            </w:r>
            <w:r>
              <w:rPr>
                <w:rFonts w:hint="eastAsia" w:ascii="宋体" w:hAnsi="宋体" w:eastAsia="宋体" w:cs="宋体"/>
                <w:color w:val="000000" w:themeColor="text1"/>
                <w:sz w:val="24"/>
                <w:highlight w:val="none"/>
                <w:lang w:val="en-US" w:eastAsia="zh-CN"/>
                <w14:textFill>
                  <w14:solidFill>
                    <w14:schemeClr w14:val="tx1"/>
                  </w14:solidFill>
                </w14:textFill>
              </w:rPr>
              <w:t>8</w:t>
            </w:r>
            <w:r>
              <w:rPr>
                <w:rFonts w:hint="eastAsia" w:ascii="宋体" w:hAnsi="宋体" w:eastAsia="宋体" w:cs="宋体"/>
                <w:color w:val="000000" w:themeColor="text1"/>
                <w:sz w:val="24"/>
                <w:highlight w:val="none"/>
                <w14:textFill>
                  <w14:solidFill>
                    <w14:schemeClr w14:val="tx1"/>
                  </w14:solidFill>
                </w14:textFill>
              </w:rPr>
              <w:t>分。没有的不得分。</w:t>
            </w:r>
          </w:p>
          <w:p w14:paraId="6D97A0FE">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注：</w:t>
            </w:r>
            <w:r>
              <w:rPr>
                <w:rFonts w:hint="eastAsia" w:ascii="宋体" w:hAnsi="宋体" w:eastAsia="宋体" w:cs="宋体"/>
                <w:b/>
                <w:color w:val="000000" w:themeColor="text1"/>
                <w:sz w:val="24"/>
                <w:highlight w:val="none"/>
                <w:lang w:eastAsia="zh-CN"/>
                <w14:textFill>
                  <w14:solidFill>
                    <w14:schemeClr w14:val="tx1"/>
                  </w14:solidFill>
                </w14:textFill>
              </w:rPr>
              <w:t>投标文件</w:t>
            </w:r>
            <w:r>
              <w:rPr>
                <w:rFonts w:hint="eastAsia" w:ascii="宋体" w:hAnsi="宋体" w:eastAsia="宋体" w:cs="宋体"/>
                <w:b/>
                <w:color w:val="000000" w:themeColor="text1"/>
                <w:sz w:val="24"/>
                <w:highlight w:val="none"/>
                <w14:textFill>
                  <w14:solidFill>
                    <w14:schemeClr w14:val="tx1"/>
                  </w14:solidFill>
                </w14:textFill>
              </w:rPr>
              <w:t>中须提供项目合同的证明材料，内容至少包括合同首页、标的金额所在页、签字盖章页等，未提供的不得分。</w:t>
            </w:r>
          </w:p>
        </w:tc>
      </w:tr>
    </w:tbl>
    <w:p w14:paraId="24C82B3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注：（1）上述投标文件中提供的相关证明材料需为清晰完整的彩色扫描件（照片），如存在扫描件（照片）无效、不清晰、不完整等情形使得评委会无法准确评审的，相关评审风险由投标人自行承担。</w:t>
      </w:r>
    </w:p>
    <w:p w14:paraId="2A7F3BA1">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（2）投标人在制作投标文件时请按投标文件规定的顺序编制，要求简洁、明了，并添加投标文件目录、页码、书签，便于评标委员会评审查阅。</w:t>
      </w:r>
    </w:p>
    <w:p w14:paraId="22CCBF34">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（3）对应第五章评分中服务响应/商务条件响应性说明：负偏离【以（一）****(每条)1.1****(每项)】。</w:t>
      </w:r>
    </w:p>
    <w:p w14:paraId="4F3D573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t>三、政府采购政策：</w:t>
      </w:r>
      <w:bookmarkEnd w:id="281"/>
    </w:p>
    <w:p w14:paraId="2D203D20">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color w:val="auto"/>
          <w:sz w:val="24"/>
          <w:szCs w:val="24"/>
          <w:highlight w:val="none"/>
        </w:rPr>
      </w:pPr>
      <w:bookmarkStart w:id="282" w:name="_Toc22323"/>
      <w:r>
        <w:rPr>
          <w:rFonts w:hint="eastAsia" w:ascii="宋体" w:hAnsi="宋体" w:eastAsia="宋体" w:cs="宋体"/>
          <w:b/>
          <w:bCs/>
          <w:color w:val="auto"/>
          <w:sz w:val="24"/>
          <w:szCs w:val="24"/>
          <w:highlight w:val="none"/>
        </w:rPr>
        <w:t>1、落实政府采购政策需满足的资格要求：</w:t>
      </w:r>
    </w:p>
    <w:p w14:paraId="1C1EE2D3">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（1）本项目专门面向中小企业采购，所属行业为其他未列明行业。</w:t>
      </w:r>
    </w:p>
    <w:p w14:paraId="02DC6AA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（2）在投标文件中须提供《中小企业声明函》。（填报严格按工信部联企业〔2011〕300号通知中的《中小企业划型标准规定》进行）。</w:t>
      </w:r>
    </w:p>
    <w:p w14:paraId="47E0E57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对残疾人福利性单位、监狱企业视同小型、微型企业，残疾人福利性单位需提供《残疾人福利性单位声明函》；监狱企业需提供由省级以上监狱管理局、戒毒管理局（含新疆生产建设兵团）出具的属于监狱企业的证明文件。</w:t>
      </w:r>
    </w:p>
    <w:p w14:paraId="58F588D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（4）享受政府采购支持政策的残疾人福利性单位应当同时满足以下条件：</w:t>
      </w:r>
    </w:p>
    <w:p w14:paraId="3DBCC7C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安置的残疾人占本单位在职职工人数的比例不低于25%（含25%），并且安置的残疾人人数不少于10人（含10人）；依法与安置的每位残疾人签订了一年以上（含一年）的劳动合同或服务协议；</w:t>
      </w:r>
    </w:p>
    <w:p w14:paraId="6AFD3CC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p>
    <w:p w14:paraId="3323808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提供本单位制造的货物、承担的工程或者服务，或者提供其他残疾人福利性单位制造的货物（不包括使用非残疾人福利性单位注册商标的货物）。</w:t>
      </w:r>
    </w:p>
    <w:p w14:paraId="5C19BE4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AC3650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中标、中标人享受中小企业扶持政策或者为残疾人福利性单位的，应当随中标、成交结果同时公告其《中小企业声明函》或《残疾人福利性单位声明函》，接受社会监督。若投标人提供的上述声明函为虚假声明则视同提供虚假材料，按“政府采购法”相关规定处理并报请政府监管部门给予行政处罚。</w:t>
      </w:r>
    </w:p>
    <w:bookmarkEnd w:id="282"/>
    <w:p w14:paraId="53F4963C">
      <w:pPr>
        <w:keepNext w:val="0"/>
        <w:keepLines w:val="0"/>
        <w:pageBreakBefore w:val="0"/>
        <w:widowControl w:val="0"/>
        <w:kinsoku/>
        <w:wordWrap/>
        <w:overflowPunct/>
        <w:topLinePunct w:val="0"/>
        <w:autoSpaceDE/>
        <w:autoSpaceDN/>
        <w:bidi w:val="0"/>
        <w:adjustRightInd/>
        <w:snapToGrid/>
        <w:spacing w:line="440" w:lineRule="exact"/>
        <w:ind w:firstLine="241" w:firstLineChars="1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2、信用信息查询</w:t>
      </w:r>
    </w:p>
    <w:p w14:paraId="159BBF7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根据政府采购法及相关法规，以及《国务院关于建立完善守信联合激励和失信联合惩戒制度加快推进社会诚信体系建设的指导意见》（国发〔2016〕33 号）、财政部《关于在政府采购活动中查询及使用信用记录有关问题的通知》（财库〔2016〕125 号）、江苏省财政厅《关于做好政府采购信用信息查询使用及登记等工作的通知》（苏财购〔2016〕50 号）等文件的规定，我们将依法对投标人进行信用查询，凡经评标小组确认不符合政府采购相关法律法规规定的，将拒绝其参与政府采购活动。</w:t>
      </w:r>
    </w:p>
    <w:p w14:paraId="46DD39B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1、查询截止时点：投标文件递交截止时间。</w:t>
      </w:r>
    </w:p>
    <w:p w14:paraId="3C48CAA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2、查询渠道：信用中国 （ https://www.creditchina.gov.cn/ ）查询相关主体信用记录，并采取必要方式做好信用信息报告等查询记录留存，信用信息报告等查询记录应当与其他招标文件一并保存。 </w:t>
      </w:r>
    </w:p>
    <w:p w14:paraId="5B10925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3、查询证据留存方式：</w:t>
      </w:r>
    </w:p>
    <w:p w14:paraId="0EAF554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存在失信信息的投标人，评标委员会应填写《苏州市级政府采购投标人失信信息确认函》，由失信投标人确认。同时，采购代理机构工作人员应根据评标委员会确认的失信信息，登陆到来源网站页面进行复核并打印，作为证据留存。</w:t>
      </w:r>
    </w:p>
    <w:p w14:paraId="1B050C3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4、信用记录使用规则：</w:t>
      </w:r>
    </w:p>
    <w:p w14:paraId="3EE5F4D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color w:val="auto"/>
          <w:sz w:val="36"/>
          <w:highlight w:val="none"/>
        </w:rPr>
      </w:pPr>
      <w:r>
        <w:rPr>
          <w:rFonts w:hint="eastAsia" w:ascii="宋体" w:hAnsi="宋体" w:eastAsia="宋体" w:cs="宋体"/>
          <w:color w:val="auto"/>
          <w:sz w:val="24"/>
          <w:szCs w:val="24"/>
          <w:highlight w:val="none"/>
        </w:rPr>
        <w:t>评标委员会在对投标人进行资格性审查时，应根据查询结果对投标人的不良信用记录逐项甄别确认</w:t>
      </w:r>
      <w:bookmarkEnd w:id="270"/>
      <w:bookmarkEnd w:id="271"/>
      <w:bookmarkEnd w:id="272"/>
      <w:bookmarkStart w:id="283" w:name="_Toc315868063"/>
      <w:bookmarkStart w:id="284" w:name="_Toc158691777"/>
      <w:bookmarkStart w:id="285" w:name="_Toc315875326"/>
      <w:r>
        <w:rPr>
          <w:rFonts w:hint="eastAsia" w:ascii="宋体" w:hAnsi="宋体" w:eastAsia="宋体" w:cs="宋体"/>
          <w:color w:val="auto"/>
          <w:sz w:val="24"/>
          <w:szCs w:val="24"/>
          <w:highlight w:val="none"/>
        </w:rPr>
        <w:t>。</w:t>
      </w:r>
    </w:p>
    <w:p w14:paraId="7176EC36">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br w:type="page"/>
      </w:r>
    </w:p>
    <w:p w14:paraId="47B30847">
      <w:pPr>
        <w:spacing w:line="360" w:lineRule="auto"/>
        <w:jc w:val="center"/>
        <w:outlineLvl w:val="0"/>
        <w:rPr>
          <w:rFonts w:hint="eastAsia" w:ascii="宋体" w:hAnsi="宋体" w:eastAsia="宋体" w:cs="宋体"/>
          <w:b/>
          <w:color w:val="auto"/>
          <w:sz w:val="36"/>
          <w:highlight w:val="none"/>
        </w:rPr>
      </w:pPr>
      <w:bookmarkStart w:id="286" w:name="_Toc30547"/>
      <w:r>
        <w:rPr>
          <w:rFonts w:hint="eastAsia" w:ascii="宋体" w:hAnsi="宋体" w:eastAsia="宋体" w:cs="宋体"/>
          <w:b/>
          <w:color w:val="auto"/>
          <w:sz w:val="36"/>
          <w:highlight w:val="none"/>
        </w:rPr>
        <w:t>第六章 投标文件格式</w:t>
      </w:r>
      <w:bookmarkEnd w:id="286"/>
    </w:p>
    <w:p w14:paraId="3FA0791F">
      <w:pP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封面：</w:t>
      </w:r>
    </w:p>
    <w:p w14:paraId="4B469B20">
      <w:pPr>
        <w:jc w:val="center"/>
        <w:rPr>
          <w:rFonts w:hint="eastAsia" w:ascii="宋体" w:hAnsi="宋体" w:eastAsia="宋体" w:cs="宋体"/>
          <w:b/>
          <w:color w:val="auto"/>
          <w:sz w:val="72"/>
          <w:szCs w:val="72"/>
          <w:highlight w:val="none"/>
        </w:rPr>
      </w:pPr>
    </w:p>
    <w:p w14:paraId="147C4820">
      <w:pPr>
        <w:jc w:val="center"/>
        <w:rPr>
          <w:rFonts w:hint="eastAsia" w:ascii="宋体" w:hAnsi="宋体" w:eastAsia="宋体" w:cs="宋体"/>
          <w:b/>
          <w:color w:val="auto"/>
          <w:sz w:val="72"/>
          <w:szCs w:val="72"/>
          <w:highlight w:val="none"/>
        </w:rPr>
      </w:pPr>
    </w:p>
    <w:p w14:paraId="77A4E27B">
      <w:pPr>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投标文件</w:t>
      </w:r>
    </w:p>
    <w:p w14:paraId="4483C8A3">
      <w:pPr>
        <w:rPr>
          <w:rFonts w:hint="eastAsia" w:ascii="宋体" w:hAnsi="宋体" w:eastAsia="宋体" w:cs="宋体"/>
          <w:b/>
          <w:color w:val="auto"/>
          <w:sz w:val="36"/>
          <w:szCs w:val="36"/>
          <w:highlight w:val="none"/>
        </w:rPr>
      </w:pPr>
    </w:p>
    <w:p w14:paraId="42305DCE">
      <w:pPr>
        <w:rPr>
          <w:rFonts w:hint="eastAsia" w:ascii="宋体" w:hAnsi="宋体" w:eastAsia="宋体" w:cs="宋体"/>
          <w:b/>
          <w:color w:val="auto"/>
          <w:sz w:val="36"/>
          <w:szCs w:val="36"/>
          <w:highlight w:val="none"/>
        </w:rPr>
      </w:pPr>
    </w:p>
    <w:p w14:paraId="20F7331B">
      <w:pPr>
        <w:rPr>
          <w:rFonts w:hint="eastAsia" w:ascii="宋体" w:hAnsi="宋体" w:eastAsia="宋体" w:cs="宋体"/>
          <w:b/>
          <w:color w:val="auto"/>
          <w:sz w:val="36"/>
          <w:szCs w:val="36"/>
          <w:highlight w:val="none"/>
        </w:rPr>
      </w:pPr>
    </w:p>
    <w:p w14:paraId="4B1A84B4">
      <w:pPr>
        <w:rPr>
          <w:rFonts w:hint="eastAsia" w:ascii="宋体" w:hAnsi="宋体" w:eastAsia="宋体" w:cs="宋体"/>
          <w:b/>
          <w:color w:val="auto"/>
          <w:sz w:val="36"/>
          <w:szCs w:val="36"/>
          <w:highlight w:val="none"/>
        </w:rPr>
      </w:pPr>
    </w:p>
    <w:p w14:paraId="0C23DEAA">
      <w:pPr>
        <w:jc w:val="center"/>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6"/>
          <w:szCs w:val="36"/>
          <w:highlight w:val="none"/>
        </w:rPr>
        <w:t>项目名称：</w:t>
      </w:r>
      <w:r>
        <w:rPr>
          <w:rFonts w:hint="eastAsia" w:ascii="宋体" w:hAnsi="宋体" w:eastAsia="宋体" w:cs="宋体"/>
          <w:b/>
          <w:color w:val="auto"/>
          <w:sz w:val="36"/>
          <w:szCs w:val="36"/>
          <w:highlight w:val="none"/>
          <w:lang w:eastAsia="zh-CN"/>
        </w:rPr>
        <w:t>2026年古里镇雨污水管网养护及零星维修项目</w:t>
      </w:r>
    </w:p>
    <w:p w14:paraId="154B95CB">
      <w:pPr>
        <w:ind w:firstLine="1084" w:firstLineChars="300"/>
        <w:jc w:val="center"/>
        <w:rPr>
          <w:rFonts w:hint="eastAsia" w:ascii="宋体" w:hAnsi="宋体" w:eastAsia="宋体" w:cs="宋体"/>
          <w:b/>
          <w:color w:val="auto"/>
          <w:sz w:val="36"/>
          <w:szCs w:val="36"/>
          <w:highlight w:val="none"/>
        </w:rPr>
      </w:pPr>
    </w:p>
    <w:p w14:paraId="4B48457E">
      <w:pPr>
        <w:ind w:left="0" w:leftChars="0" w:firstLine="0" w:firstLineChars="0"/>
        <w:jc w:val="center"/>
        <w:rPr>
          <w:rFonts w:hint="eastAsia" w:ascii="宋体" w:hAnsi="宋体" w:eastAsia="宋体" w:cs="宋体"/>
          <w:b/>
          <w:color w:val="auto"/>
          <w:sz w:val="10"/>
          <w:szCs w:val="10"/>
          <w:highlight w:val="none"/>
          <w:lang w:eastAsia="zh-CN"/>
        </w:rPr>
      </w:pPr>
      <w:r>
        <w:rPr>
          <w:rFonts w:hint="eastAsia" w:ascii="宋体" w:hAnsi="宋体" w:eastAsia="宋体" w:cs="宋体"/>
          <w:b/>
          <w:color w:val="auto"/>
          <w:sz w:val="36"/>
          <w:szCs w:val="36"/>
          <w:highlight w:val="none"/>
        </w:rPr>
        <w:t>项目编号：</w:t>
      </w:r>
      <w:r>
        <w:rPr>
          <w:rFonts w:hint="eastAsia" w:ascii="宋体" w:hAnsi="宋体" w:cs="宋体"/>
          <w:b/>
          <w:color w:val="auto"/>
          <w:sz w:val="36"/>
          <w:szCs w:val="36"/>
          <w:highlight w:val="none"/>
          <w:lang w:eastAsia="zh-CN"/>
        </w:rPr>
        <w:t>JSZC-320581-HXGW-G2025-0077</w:t>
      </w:r>
    </w:p>
    <w:p w14:paraId="3961D736">
      <w:pPr>
        <w:ind w:firstLine="2530" w:firstLineChars="700"/>
        <w:rPr>
          <w:rFonts w:hint="eastAsia" w:ascii="宋体" w:hAnsi="宋体" w:eastAsia="宋体" w:cs="宋体"/>
          <w:b/>
          <w:color w:val="auto"/>
          <w:sz w:val="36"/>
          <w:szCs w:val="36"/>
          <w:highlight w:val="none"/>
        </w:rPr>
      </w:pPr>
    </w:p>
    <w:p w14:paraId="76812F74">
      <w:pPr>
        <w:rPr>
          <w:rFonts w:hint="eastAsia" w:ascii="宋体" w:hAnsi="宋体" w:eastAsia="宋体" w:cs="宋体"/>
          <w:color w:val="auto"/>
          <w:sz w:val="36"/>
          <w:szCs w:val="36"/>
          <w:highlight w:val="none"/>
        </w:rPr>
      </w:pPr>
    </w:p>
    <w:p w14:paraId="6FC40382">
      <w:pPr>
        <w:rPr>
          <w:rFonts w:hint="eastAsia" w:ascii="宋体" w:hAnsi="宋体" w:eastAsia="宋体" w:cs="宋体"/>
          <w:b/>
          <w:color w:val="auto"/>
          <w:sz w:val="36"/>
          <w:szCs w:val="36"/>
          <w:highlight w:val="none"/>
        </w:rPr>
      </w:pPr>
    </w:p>
    <w:p w14:paraId="1513F777">
      <w:pPr>
        <w:ind w:firstLine="1084" w:firstLineChars="300"/>
        <w:jc w:val="center"/>
        <w:rPr>
          <w:rFonts w:hint="eastAsia" w:ascii="宋体" w:hAnsi="宋体" w:eastAsia="宋体" w:cs="宋体"/>
          <w:b/>
          <w:color w:val="auto"/>
          <w:sz w:val="36"/>
          <w:szCs w:val="36"/>
          <w:highlight w:val="none"/>
        </w:rPr>
      </w:pPr>
    </w:p>
    <w:p w14:paraId="63DC9773">
      <w:pPr>
        <w:ind w:left="0" w:leftChars="0" w:firstLine="0" w:firstLineChars="0"/>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21"/>
          <w:highlight w:val="none"/>
        </w:rPr>
        <w:t>投标人名称</w:t>
      </w:r>
      <w:r>
        <w:rPr>
          <w:rFonts w:hint="eastAsia" w:ascii="宋体" w:hAnsi="宋体" w:eastAsia="宋体" w:cs="宋体"/>
          <w:b/>
          <w:color w:val="auto"/>
          <w:sz w:val="36"/>
          <w:szCs w:val="36"/>
          <w:highlight w:val="none"/>
        </w:rPr>
        <w:t>：</w:t>
      </w:r>
      <w:r>
        <w:rPr>
          <w:rFonts w:hint="eastAsia" w:ascii="宋体" w:hAnsi="宋体" w:eastAsia="宋体" w:cs="宋体"/>
          <w:b/>
          <w:color w:val="auto"/>
          <w:sz w:val="36"/>
          <w:szCs w:val="21"/>
          <w:highlight w:val="none"/>
          <w:u w:val="single"/>
        </w:rPr>
        <w:t>（加盖CA电子公章）</w:t>
      </w:r>
    </w:p>
    <w:p w14:paraId="6A437A76">
      <w:pPr>
        <w:ind w:firstLine="1988" w:firstLineChars="550"/>
        <w:jc w:val="center"/>
        <w:rPr>
          <w:rFonts w:hint="eastAsia" w:ascii="宋体" w:hAnsi="宋体" w:eastAsia="宋体" w:cs="宋体"/>
          <w:b/>
          <w:color w:val="auto"/>
          <w:sz w:val="36"/>
          <w:szCs w:val="36"/>
          <w:highlight w:val="none"/>
        </w:rPr>
      </w:pPr>
    </w:p>
    <w:p w14:paraId="0201B9D3">
      <w:pPr>
        <w:ind w:left="0" w:leftChars="0" w:firstLine="0" w:firstLineChars="0"/>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日期：   年   月    日</w:t>
      </w:r>
    </w:p>
    <w:p w14:paraId="6869EAC1">
      <w:pPr>
        <w:ind w:firstLine="482" w:firstLineChars="200"/>
        <w:rPr>
          <w:rFonts w:hint="eastAsia" w:ascii="宋体" w:hAnsi="宋体" w:eastAsia="宋体" w:cs="宋体"/>
          <w:b/>
          <w:color w:val="auto"/>
          <w:sz w:val="24"/>
          <w:szCs w:val="24"/>
          <w:highlight w:val="none"/>
        </w:rPr>
      </w:pPr>
    </w:p>
    <w:p w14:paraId="5BA81D22">
      <w:pPr>
        <w:rPr>
          <w:rFonts w:hint="eastAsia" w:ascii="宋体" w:hAnsi="宋体" w:eastAsia="宋体" w:cs="宋体"/>
          <w:b/>
          <w:color w:val="auto"/>
          <w:sz w:val="24"/>
          <w:szCs w:val="24"/>
          <w:highlight w:val="none"/>
        </w:rPr>
      </w:pPr>
    </w:p>
    <w:p w14:paraId="78C668BA">
      <w:pPr>
        <w:jc w:val="center"/>
        <w:rPr>
          <w:rFonts w:hint="eastAsia" w:ascii="宋体" w:hAnsi="宋体" w:eastAsia="宋体" w:cs="宋体"/>
          <w:b/>
          <w:color w:val="auto"/>
          <w:sz w:val="48"/>
          <w:szCs w:val="48"/>
          <w:highlight w:val="none"/>
        </w:rPr>
      </w:pPr>
      <w:r>
        <w:rPr>
          <w:rFonts w:hint="eastAsia" w:ascii="宋体" w:hAnsi="宋体" w:eastAsia="宋体" w:cs="宋体"/>
          <w:b/>
          <w:color w:val="auto"/>
          <w:sz w:val="48"/>
          <w:szCs w:val="48"/>
          <w:highlight w:val="none"/>
        </w:rPr>
        <w:t>目录</w:t>
      </w:r>
    </w:p>
    <w:p w14:paraId="7A141164">
      <w:pPr>
        <w:spacing w:line="400" w:lineRule="exact"/>
        <w:ind w:firstLine="482" w:firstLineChars="200"/>
        <w:rPr>
          <w:rFonts w:hint="eastAsia" w:ascii="宋体" w:hAnsi="宋体" w:eastAsia="宋体" w:cs="宋体"/>
          <w:b/>
          <w:bCs/>
          <w:color w:val="auto"/>
          <w:sz w:val="24"/>
          <w:szCs w:val="24"/>
          <w:highlight w:val="none"/>
        </w:rPr>
      </w:pPr>
      <w:bookmarkStart w:id="287" w:name="_Toc511680880"/>
      <w:r>
        <w:rPr>
          <w:rFonts w:hint="eastAsia" w:ascii="宋体" w:hAnsi="宋体" w:eastAsia="宋体" w:cs="宋体"/>
          <w:b/>
          <w:bCs/>
          <w:color w:val="auto"/>
          <w:sz w:val="24"/>
          <w:szCs w:val="24"/>
          <w:highlight w:val="none"/>
        </w:rPr>
        <w:t>一、基本目录</w:t>
      </w:r>
    </w:p>
    <w:p w14:paraId="2728C74C">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highlight w:val="none"/>
        </w:rPr>
        <w:t>开标一览表</w:t>
      </w:r>
      <w:r>
        <w:rPr>
          <w:rFonts w:hint="eastAsia" w:ascii="宋体" w:hAnsi="宋体" w:eastAsia="宋体" w:cs="宋体"/>
          <w:color w:val="auto"/>
          <w:sz w:val="24"/>
          <w:szCs w:val="24"/>
          <w:highlight w:val="none"/>
        </w:rPr>
        <w:t>（格式见附件）</w:t>
      </w:r>
    </w:p>
    <w:p w14:paraId="6DF6D551">
      <w:pPr>
        <w:spacing w:line="40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二、资格审查内容</w:t>
      </w:r>
    </w:p>
    <w:p w14:paraId="58586589">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*1、满足《中华人民共和国政府采购法》第二十二条规定，并提供下列材料：</w:t>
      </w:r>
    </w:p>
    <w:p w14:paraId="528132F3">
      <w:pPr>
        <w:spacing w:line="400" w:lineRule="exact"/>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法人或者其他组织的营业执照等证明文件；</w:t>
      </w:r>
    </w:p>
    <w:p w14:paraId="5CF42F9E">
      <w:pPr>
        <w:spacing w:line="400" w:lineRule="exact"/>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 提供最近一期经会计事务所审计的财务报告（成立不满一年需提供资产负债表和利润表）或银行（金融机构）出具的资信证明</w:t>
      </w:r>
      <w:r>
        <w:rPr>
          <w:rFonts w:hint="eastAsia" w:ascii="宋体" w:hAnsi="宋体" w:eastAsia="宋体" w:cs="宋体"/>
          <w:b/>
          <w:bCs/>
          <w:color w:val="auto"/>
          <w:sz w:val="24"/>
          <w:szCs w:val="24"/>
          <w:highlight w:val="none"/>
        </w:rPr>
        <w:t>（距开标时间六个月内开具的资信证明）</w:t>
      </w:r>
    </w:p>
    <w:p w14:paraId="2FEC18D8">
      <w:pPr>
        <w:spacing w:line="400" w:lineRule="exact"/>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 依法缴纳税收和社会保障资金的相关材料（提供投标截止时间前一年内至少一个月依法缴纳税收及缴纳社会保障资金的证明材料，如投标人缴纳税收的凭据、缴纳社会保险的专用收据或社会保险缴纳清单。投标人依法享受免缴税收、社会保障资金的提供证明材料。）</w:t>
      </w:r>
    </w:p>
    <w:p w14:paraId="04EF9CD0">
      <w:pPr>
        <w:spacing w:line="400" w:lineRule="exact"/>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 具备履行合同所必需的设备和专业技术能力的书面声明（格式见附件）</w:t>
      </w:r>
    </w:p>
    <w:p w14:paraId="5C1771FC">
      <w:pPr>
        <w:spacing w:line="400" w:lineRule="exact"/>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 参加政府采购活动前 3 年内在经营活动中没有重大违法记录的书面声明（格式见附件）</w:t>
      </w:r>
    </w:p>
    <w:p w14:paraId="03DF675D">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*2、中小企业声明函（格式见附件）或残疾人福利性单位声明函（格式见附件）或省级以上监狱管理局、戒毒管理局（含新疆生产建设兵团）出具的属于监狱企业的证明文件</w:t>
      </w:r>
    </w:p>
    <w:p w14:paraId="24C9D2F7">
      <w:pPr>
        <w:spacing w:line="40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注：其中加“*”项目若有缺失或无效，将导致其投标文件无效且不允许在投标文件开启时间后补正。</w:t>
      </w:r>
    </w:p>
    <w:p w14:paraId="2625C905">
      <w:pPr>
        <w:spacing w:line="40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三、符合性审查内容</w:t>
      </w:r>
    </w:p>
    <w:p w14:paraId="51B10536">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法人授权书（格式见附件）（如法定代表人签署投标文件的，法人授权书无需提供）</w:t>
      </w:r>
    </w:p>
    <w:p w14:paraId="60A19D6F">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投标函（格式见附件）</w:t>
      </w:r>
    </w:p>
    <w:p w14:paraId="1951AA4E">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3</w:t>
      </w:r>
      <w:r>
        <w:rPr>
          <w:rFonts w:hint="eastAsia" w:ascii="宋体" w:hAnsi="宋体" w:cs="宋体"/>
          <w:color w:val="auto"/>
          <w:sz w:val="24"/>
          <w:highlight w:val="none"/>
          <w:lang w:eastAsia="zh-CN"/>
        </w:rPr>
        <w:t>、</w:t>
      </w:r>
      <w:r>
        <w:rPr>
          <w:rFonts w:hint="eastAsia" w:ascii="宋体" w:hAnsi="宋体" w:eastAsia="宋体" w:cs="宋体"/>
          <w:color w:val="auto"/>
          <w:sz w:val="24"/>
          <w:szCs w:val="24"/>
          <w:highlight w:val="none"/>
        </w:rPr>
        <w:t>实质性要求响应及偏离表（格式见附件）</w:t>
      </w:r>
    </w:p>
    <w:p w14:paraId="60C99118">
      <w:pPr>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服务要求响应及偏离表（格式见附件）</w:t>
      </w:r>
    </w:p>
    <w:p w14:paraId="1C04D47E">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5</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商务要求响应及偏离表</w:t>
      </w:r>
      <w:r>
        <w:rPr>
          <w:rFonts w:hint="eastAsia" w:ascii="宋体" w:hAnsi="宋体" w:eastAsia="宋体" w:cs="宋体"/>
          <w:color w:val="auto"/>
          <w:sz w:val="24"/>
          <w:szCs w:val="24"/>
          <w:highlight w:val="none"/>
        </w:rPr>
        <w:t>（格式见附件）</w:t>
      </w:r>
    </w:p>
    <w:p w14:paraId="27BA67DF">
      <w:pPr>
        <w:spacing w:line="40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6、供应商与其他单位存在直接控股、管理关系情况表</w:t>
      </w:r>
      <w:r>
        <w:rPr>
          <w:rFonts w:hint="eastAsia" w:ascii="宋体" w:hAnsi="宋体" w:eastAsia="宋体" w:cs="宋体"/>
          <w:color w:val="auto"/>
          <w:sz w:val="24"/>
          <w:szCs w:val="24"/>
          <w:highlight w:val="none"/>
        </w:rPr>
        <w:t>（格式见附件）</w:t>
      </w:r>
    </w:p>
    <w:p w14:paraId="64D6E6E4">
      <w:pPr>
        <w:spacing w:line="40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四、综合评审文件</w:t>
      </w:r>
    </w:p>
    <w:p w14:paraId="4D36AB91">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1、项目实施方案（格式见附件）</w:t>
      </w:r>
    </w:p>
    <w:p w14:paraId="40AAF9D3">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highlight w:val="none"/>
        </w:rPr>
        <w:t>项目组人员一览表</w:t>
      </w:r>
      <w:r>
        <w:rPr>
          <w:rFonts w:hint="eastAsia" w:ascii="宋体" w:hAnsi="宋体" w:eastAsia="宋体" w:cs="宋体"/>
          <w:color w:val="auto"/>
          <w:sz w:val="24"/>
          <w:szCs w:val="24"/>
          <w:highlight w:val="none"/>
        </w:rPr>
        <w:t>（格式见附件）</w:t>
      </w:r>
    </w:p>
    <w:p w14:paraId="0F5DA98A">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cs="宋体"/>
          <w:color w:val="auto"/>
          <w:sz w:val="24"/>
          <w:szCs w:val="24"/>
          <w:highlight w:val="none"/>
          <w:lang w:val="en-US" w:eastAsia="zh-CN"/>
        </w:rPr>
        <w:t>车辆</w:t>
      </w:r>
      <w:r>
        <w:rPr>
          <w:rFonts w:hint="eastAsia" w:ascii="宋体" w:hAnsi="宋体" w:eastAsia="宋体" w:cs="宋体"/>
          <w:color w:val="auto"/>
          <w:sz w:val="24"/>
          <w:szCs w:val="24"/>
          <w:highlight w:val="none"/>
        </w:rPr>
        <w:t>设备配备一览表（格式见附件）</w:t>
      </w:r>
    </w:p>
    <w:p w14:paraId="71F3EC09">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4、业绩一览表（格式见附件）</w:t>
      </w:r>
    </w:p>
    <w:p w14:paraId="46BF70BA">
      <w:pPr>
        <w:spacing w:line="40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备注：针对“二、资格审查内容”和“三、符合性审查内容”，投标人必须在投标文件中提供相关材料，若有缺失或无效的，将导致其投标无效。</w:t>
      </w:r>
    </w:p>
    <w:p w14:paraId="17E84FDD">
      <w:pPr>
        <w:rPr>
          <w:rFonts w:hint="eastAsia" w:ascii="宋体" w:hAnsi="宋体" w:eastAsia="宋体" w:cs="宋体"/>
          <w:b/>
          <w:color w:val="auto"/>
          <w:sz w:val="24"/>
          <w:szCs w:val="24"/>
          <w:highlight w:val="none"/>
        </w:rPr>
      </w:pPr>
      <w:r>
        <w:rPr>
          <w:rFonts w:hint="eastAsia" w:ascii="宋体" w:hAnsi="宋体" w:eastAsia="宋体" w:cs="宋体"/>
          <w:color w:val="auto"/>
          <w:highlight w:val="none"/>
        </w:rPr>
        <w:br w:type="page"/>
      </w:r>
      <w:bookmarkEnd w:id="287"/>
    </w:p>
    <w:p w14:paraId="43D9A6FA">
      <w:pPr>
        <w:pStyle w:val="3"/>
        <w:rPr>
          <w:rFonts w:hint="eastAsia" w:ascii="宋体" w:hAnsi="宋体" w:eastAsia="宋体" w:cs="宋体"/>
          <w:color w:val="auto"/>
          <w:highlight w:val="none"/>
        </w:rPr>
      </w:pPr>
      <w:bookmarkStart w:id="288" w:name="_Toc472326799"/>
      <w:bookmarkStart w:id="289" w:name="_Toc511680881"/>
      <w:bookmarkStart w:id="290" w:name="_Toc29815"/>
      <w:r>
        <w:rPr>
          <w:rFonts w:hint="eastAsia" w:ascii="宋体" w:hAnsi="宋体" w:eastAsia="宋体" w:cs="宋体"/>
          <w:color w:val="auto"/>
          <w:highlight w:val="none"/>
        </w:rPr>
        <w:t>附件1 开标一览表</w:t>
      </w:r>
      <w:bookmarkEnd w:id="288"/>
      <w:bookmarkEnd w:id="289"/>
      <w:bookmarkEnd w:id="290"/>
    </w:p>
    <w:bookmarkEnd w:id="283"/>
    <w:bookmarkEnd w:id="284"/>
    <w:bookmarkEnd w:id="285"/>
    <w:p w14:paraId="338F4980">
      <w:pPr>
        <w:spacing w:line="400" w:lineRule="exact"/>
        <w:ind w:firstLine="482"/>
        <w:rPr>
          <w:rFonts w:hint="eastAsia" w:ascii="宋体" w:hAnsi="宋体" w:eastAsia="宋体" w:cs="宋体"/>
          <w:color w:val="auto"/>
          <w:sz w:val="24"/>
          <w:szCs w:val="24"/>
          <w:highlight w:val="none"/>
        </w:rPr>
      </w:pPr>
      <w:bookmarkStart w:id="291" w:name="_Toc13333"/>
      <w:bookmarkStart w:id="292" w:name="_Toc10210"/>
      <w:bookmarkStart w:id="293" w:name="_Toc507155725"/>
      <w:bookmarkStart w:id="294" w:name="_Toc500969519"/>
      <w:bookmarkStart w:id="295" w:name="_Toc504487339"/>
      <w:bookmarkStart w:id="296" w:name="_Toc501026326"/>
      <w:r>
        <w:rPr>
          <w:rFonts w:hint="eastAsia" w:ascii="宋体" w:hAnsi="宋体" w:eastAsia="宋体" w:cs="宋体"/>
          <w:color w:val="auto"/>
          <w:sz w:val="24"/>
          <w:szCs w:val="24"/>
          <w:highlight w:val="none"/>
        </w:rPr>
        <w:t>投标人全称（加盖CA电子签章）：</w:t>
      </w:r>
    </w:p>
    <w:p w14:paraId="082EE196">
      <w:pPr>
        <w:spacing w:line="400" w:lineRule="exact"/>
        <w:ind w:firstLine="48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lang w:eastAsia="zh-CN"/>
        </w:rPr>
        <w:t>2026年古里镇雨污水管网养护及零星维修项目</w:t>
      </w:r>
    </w:p>
    <w:p w14:paraId="4CF19767">
      <w:pPr>
        <w:spacing w:line="400" w:lineRule="exact"/>
        <w:ind w:firstLine="48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项目编号：</w:t>
      </w:r>
      <w:r>
        <w:rPr>
          <w:rFonts w:hint="eastAsia" w:ascii="宋体" w:hAnsi="宋体" w:cs="宋体"/>
          <w:bCs/>
          <w:color w:val="auto"/>
          <w:sz w:val="24"/>
          <w:szCs w:val="24"/>
          <w:highlight w:val="none"/>
          <w:lang w:eastAsia="zh-CN"/>
        </w:rPr>
        <w:t>JSZC-320581-HXGW-G2025-0077</w:t>
      </w:r>
    </w:p>
    <w:tbl>
      <w:tblPr>
        <w:tblStyle w:val="55"/>
        <w:tblpPr w:leftFromText="180" w:rightFromText="180" w:vertAnchor="text" w:horzAnchor="page" w:tblpX="1318" w:tblpY="279"/>
        <w:tblOverlap w:val="never"/>
        <w:tblW w:w="95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30"/>
        <w:gridCol w:w="4469"/>
      </w:tblGrid>
      <w:tr w14:paraId="640EE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trPr>
        <w:tc>
          <w:tcPr>
            <w:tcW w:w="5130" w:type="dxa"/>
            <w:vAlign w:val="center"/>
          </w:tcPr>
          <w:p w14:paraId="76DFBFE8">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项目名称</w:t>
            </w:r>
          </w:p>
        </w:tc>
        <w:tc>
          <w:tcPr>
            <w:tcW w:w="4469" w:type="dxa"/>
            <w:vAlign w:val="center"/>
          </w:tcPr>
          <w:p w14:paraId="34006696">
            <w:pPr>
              <w:jc w:val="cente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投标</w:t>
            </w:r>
            <w:r>
              <w:rPr>
                <w:rFonts w:hint="eastAsia" w:ascii="宋体" w:hAnsi="宋体" w:eastAsia="宋体" w:cs="宋体"/>
                <w:bCs/>
                <w:color w:val="auto"/>
                <w:sz w:val="24"/>
                <w:szCs w:val="24"/>
                <w:highlight w:val="none"/>
                <w:lang w:val="en-US" w:eastAsia="zh-CN"/>
              </w:rPr>
              <w:t>优惠率</w:t>
            </w:r>
          </w:p>
        </w:tc>
      </w:tr>
      <w:tr w14:paraId="61548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trPr>
        <w:tc>
          <w:tcPr>
            <w:tcW w:w="5130" w:type="dxa"/>
            <w:vAlign w:val="center"/>
          </w:tcPr>
          <w:p w14:paraId="56016415">
            <w:pPr>
              <w:jc w:val="center"/>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lang w:eastAsia="zh-CN"/>
              </w:rPr>
              <w:t>2026年古里镇雨污水管网养护及零星维修项目</w:t>
            </w:r>
          </w:p>
        </w:tc>
        <w:tc>
          <w:tcPr>
            <w:tcW w:w="4469" w:type="dxa"/>
            <w:vAlign w:val="center"/>
          </w:tcPr>
          <w:p w14:paraId="6904D779">
            <w:pPr>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小写：</w:t>
            </w:r>
          </w:p>
        </w:tc>
      </w:tr>
    </w:tbl>
    <w:p w14:paraId="46FD7B87">
      <w:pPr>
        <w:spacing w:line="440" w:lineRule="exact"/>
        <w:rPr>
          <w:rFonts w:hint="eastAsia" w:ascii="宋体" w:hAnsi="宋体" w:eastAsia="宋体" w:cs="宋体"/>
          <w:bCs/>
          <w:color w:val="auto"/>
          <w:kern w:val="0"/>
          <w:sz w:val="24"/>
          <w:szCs w:val="24"/>
          <w:highlight w:val="none"/>
        </w:rPr>
      </w:pPr>
      <w:r>
        <w:rPr>
          <w:rFonts w:hint="eastAsia" w:ascii="宋体" w:hAnsi="宋体" w:eastAsia="宋体" w:cs="宋体"/>
          <w:color w:val="auto"/>
          <w:sz w:val="24"/>
          <w:szCs w:val="24"/>
          <w:highlight w:val="none"/>
        </w:rPr>
        <w:t>注：</w:t>
      </w:r>
      <w:r>
        <w:rPr>
          <w:rFonts w:hint="eastAsia" w:ascii="宋体" w:hAnsi="宋体" w:eastAsia="宋体" w:cs="宋体"/>
          <w:bCs/>
          <w:color w:val="auto"/>
          <w:kern w:val="0"/>
          <w:sz w:val="24"/>
          <w:szCs w:val="24"/>
          <w:highlight w:val="none"/>
        </w:rPr>
        <w:t>1、“投标优惠率”请保留小数点后两位。</w:t>
      </w:r>
    </w:p>
    <w:p w14:paraId="49F9DB48">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bCs/>
          <w:color w:val="auto"/>
          <w:kern w:val="0"/>
          <w:sz w:val="24"/>
          <w:szCs w:val="24"/>
          <w:highlight w:val="none"/>
        </w:rPr>
        <w:t>2、投标报价优惠率均不得低于0%，否则将作无效投标处理。</w:t>
      </w:r>
    </w:p>
    <w:p w14:paraId="4BFAF4A6">
      <w:pPr>
        <w:spacing w:line="440" w:lineRule="exact"/>
        <w:rPr>
          <w:rFonts w:hint="eastAsia" w:ascii="宋体" w:hAnsi="宋体" w:eastAsia="宋体" w:cs="宋体"/>
          <w:color w:val="auto"/>
          <w:sz w:val="24"/>
          <w:szCs w:val="24"/>
          <w:highlight w:val="none"/>
        </w:rPr>
      </w:pPr>
    </w:p>
    <w:p w14:paraId="72D96489">
      <w:pPr>
        <w:jc w:val="right"/>
        <w:rPr>
          <w:rFonts w:hint="eastAsia" w:ascii="宋体" w:hAnsi="宋体" w:eastAsia="宋体" w:cs="宋体"/>
          <w:color w:val="auto"/>
          <w:sz w:val="24"/>
          <w:szCs w:val="24"/>
          <w:highlight w:val="none"/>
        </w:rPr>
      </w:pPr>
    </w:p>
    <w:p w14:paraId="5D4B31EC">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205A2669">
      <w:pPr>
        <w:pStyle w:val="3"/>
        <w:rPr>
          <w:rFonts w:hint="eastAsia" w:ascii="宋体" w:hAnsi="宋体" w:eastAsia="宋体" w:cs="宋体"/>
          <w:color w:val="auto"/>
          <w:highlight w:val="none"/>
        </w:rPr>
      </w:pPr>
      <w:bookmarkStart w:id="297" w:name="_Toc1076"/>
      <w:r>
        <w:rPr>
          <w:rFonts w:hint="eastAsia" w:ascii="宋体" w:hAnsi="宋体" w:eastAsia="宋体" w:cs="宋体"/>
          <w:color w:val="auto"/>
          <w:highlight w:val="none"/>
        </w:rPr>
        <w:t>附件</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 xml:space="preserve"> 具备履行合同所必需的设备和专业技术能力的书面声明</w:t>
      </w:r>
      <w:bookmarkEnd w:id="297"/>
    </w:p>
    <w:p w14:paraId="7F5DB64C">
      <w:pPr>
        <w:spacing w:line="460" w:lineRule="exact"/>
        <w:ind w:firstLine="492"/>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我单位郑重声明：我单位具备履行本项采购合同所必需的设备和专业技术能力，为履行本项采购合同我公司具备如下主要设备和主要专业技术能力：</w:t>
      </w:r>
    </w:p>
    <w:p w14:paraId="21E09CE3">
      <w:pPr>
        <w:spacing w:line="460" w:lineRule="exact"/>
        <w:ind w:firstLine="492"/>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主要设备有：</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w:t>
      </w:r>
    </w:p>
    <w:p w14:paraId="05FEC16D">
      <w:pPr>
        <w:spacing w:line="460" w:lineRule="exact"/>
        <w:ind w:firstLine="492"/>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主要专业技术能力有：</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w:t>
      </w:r>
    </w:p>
    <w:p w14:paraId="39437AD3">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br w:type="page"/>
      </w:r>
    </w:p>
    <w:p w14:paraId="132E63A6">
      <w:pPr>
        <w:pStyle w:val="3"/>
        <w:rPr>
          <w:rFonts w:hint="eastAsia" w:ascii="宋体" w:hAnsi="宋体" w:eastAsia="宋体" w:cs="宋体"/>
          <w:color w:val="auto"/>
          <w:highlight w:val="none"/>
        </w:rPr>
      </w:pPr>
      <w:bookmarkStart w:id="298" w:name="_Toc25138"/>
      <w:r>
        <w:rPr>
          <w:rFonts w:hint="eastAsia" w:ascii="宋体" w:hAnsi="宋体" w:eastAsia="宋体" w:cs="宋体"/>
          <w:color w:val="auto"/>
          <w:highlight w:val="none"/>
        </w:rPr>
        <w:t>附件</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 xml:space="preserve"> 参加政府采购活动前3年内在经营活动中没有重大违法记录的书面声明</w:t>
      </w:r>
      <w:bookmarkEnd w:id="298"/>
    </w:p>
    <w:p w14:paraId="6F53502D">
      <w:pPr>
        <w:pBdr>
          <w:top w:val="none" w:color="000000" w:sz="0" w:space="0"/>
          <w:left w:val="none" w:color="000000" w:sz="0" w:space="0"/>
          <w:bottom w:val="none" w:color="000000" w:sz="0" w:space="0"/>
          <w:right w:val="none" w:color="000000" w:sz="0" w:space="0"/>
        </w:pBdr>
        <w:spacing w:line="460" w:lineRule="atLeast"/>
        <w:jc w:val="cente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w:t>
      </w:r>
    </w:p>
    <w:p w14:paraId="60ED8F2E">
      <w:pPr>
        <w:pBdr>
          <w:top w:val="none" w:color="000000" w:sz="0" w:space="0"/>
          <w:left w:val="none" w:color="000000" w:sz="0" w:space="0"/>
          <w:bottom w:val="none" w:color="000000" w:sz="0" w:space="0"/>
          <w:right w:val="none" w:color="000000" w:sz="0" w:space="0"/>
        </w:pBdr>
        <w:spacing w:line="460" w:lineRule="atLeast"/>
        <w:jc w:val="cente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声 明</w:t>
      </w:r>
    </w:p>
    <w:p w14:paraId="2432BE7C">
      <w:pPr>
        <w:pBdr>
          <w:top w:val="none" w:color="000000" w:sz="0" w:space="0"/>
          <w:left w:val="none" w:color="000000" w:sz="0" w:space="0"/>
          <w:bottom w:val="none" w:color="000000" w:sz="0" w:space="0"/>
          <w:right w:val="none" w:color="000000" w:sz="0" w:space="0"/>
        </w:pBdr>
        <w:spacing w:line="460" w:lineRule="atLeas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我单位郑重声明：参加本次政府采购活动前 3 年内，我单位在经营活动中没有因违法经营受到刑事处罚或者责令停产停业、吊销许可证或者执照、较大数额罚款等行政处罚。</w:t>
      </w:r>
    </w:p>
    <w:p w14:paraId="4E6AC6AE">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46015A74">
      <w:pPr>
        <w:pStyle w:val="3"/>
        <w:spacing w:line="440" w:lineRule="exact"/>
        <w:rPr>
          <w:rFonts w:hint="eastAsia" w:ascii="宋体" w:hAnsi="宋体" w:eastAsia="宋体" w:cs="宋体"/>
          <w:color w:val="auto"/>
          <w:highlight w:val="none"/>
        </w:rPr>
      </w:pPr>
      <w:bookmarkStart w:id="299" w:name="_Toc961"/>
      <w:bookmarkStart w:id="300" w:name="_Toc30855"/>
      <w:r>
        <w:rPr>
          <w:rFonts w:hint="eastAsia" w:ascii="宋体" w:hAnsi="宋体" w:eastAsia="宋体" w:cs="宋体"/>
          <w:color w:val="auto"/>
          <w:highlight w:val="none"/>
        </w:rPr>
        <w:t>附件</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 xml:space="preserve"> </w:t>
      </w:r>
      <w:bookmarkEnd w:id="299"/>
      <w:r>
        <w:rPr>
          <w:rFonts w:hint="eastAsia" w:ascii="宋体" w:hAnsi="宋体" w:eastAsia="宋体" w:cs="宋体"/>
          <w:color w:val="auto"/>
          <w:highlight w:val="none"/>
        </w:rPr>
        <w:t>法人授权书</w:t>
      </w:r>
      <w:bookmarkEnd w:id="300"/>
    </w:p>
    <w:p w14:paraId="074599DA">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涵熙（苏州）工程顾问有限公司：</w:t>
      </w:r>
    </w:p>
    <w:p w14:paraId="348DCB97">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本授权委托书声明：注册于</w:t>
      </w:r>
      <w:r>
        <w:rPr>
          <w:rFonts w:hint="eastAsia" w:ascii="宋体" w:hAnsi="宋体" w:eastAsia="宋体" w:cs="宋体"/>
          <w:color w:val="auto"/>
          <w:sz w:val="24"/>
          <w:szCs w:val="24"/>
          <w:highlight w:val="none"/>
          <w:u w:val="single"/>
        </w:rPr>
        <w:t xml:space="preserve">     （投标人地址）    </w:t>
      </w:r>
      <w:r>
        <w:rPr>
          <w:rFonts w:hint="eastAsia" w:ascii="宋体" w:hAnsi="宋体" w:eastAsia="宋体" w:cs="宋体"/>
          <w:color w:val="auto"/>
          <w:sz w:val="24"/>
          <w:szCs w:val="24"/>
          <w:highlight w:val="none"/>
        </w:rPr>
        <w:t xml:space="preserve"> 的</w:t>
      </w:r>
      <w:r>
        <w:rPr>
          <w:rFonts w:hint="eastAsia" w:ascii="宋体" w:hAnsi="宋体" w:eastAsia="宋体" w:cs="宋体"/>
          <w:color w:val="auto"/>
          <w:sz w:val="24"/>
          <w:szCs w:val="24"/>
          <w:highlight w:val="none"/>
          <w:u w:val="single"/>
        </w:rPr>
        <w:t xml:space="preserve">      （投标人全称）         </w:t>
      </w:r>
      <w:r>
        <w:rPr>
          <w:rFonts w:hint="eastAsia" w:ascii="宋体" w:hAnsi="宋体" w:eastAsia="宋体" w:cs="宋体"/>
          <w:color w:val="auto"/>
          <w:sz w:val="24"/>
          <w:szCs w:val="24"/>
          <w:highlight w:val="none"/>
        </w:rPr>
        <w:t xml:space="preserve">的  </w:t>
      </w:r>
      <w:r>
        <w:rPr>
          <w:rFonts w:hint="eastAsia" w:ascii="宋体" w:hAnsi="宋体" w:eastAsia="宋体" w:cs="宋体"/>
          <w:color w:val="auto"/>
          <w:sz w:val="24"/>
          <w:szCs w:val="24"/>
          <w:highlight w:val="none"/>
          <w:u w:val="single"/>
        </w:rPr>
        <w:t xml:space="preserve">（法定代表人姓名）  </w:t>
      </w:r>
      <w:r>
        <w:rPr>
          <w:rFonts w:hint="eastAsia" w:ascii="宋体" w:hAnsi="宋体" w:eastAsia="宋体" w:cs="宋体"/>
          <w:color w:val="auto"/>
          <w:sz w:val="24"/>
          <w:szCs w:val="24"/>
          <w:highlight w:val="none"/>
        </w:rPr>
        <w:t>，代表本公司（工厂）授权</w:t>
      </w:r>
      <w:r>
        <w:rPr>
          <w:rFonts w:hint="eastAsia" w:ascii="宋体" w:hAnsi="宋体" w:eastAsia="宋体" w:cs="宋体"/>
          <w:color w:val="auto"/>
          <w:sz w:val="24"/>
          <w:szCs w:val="24"/>
          <w:highlight w:val="none"/>
          <w:u w:val="single"/>
        </w:rPr>
        <w:t xml:space="preserve">   （授权代表姓名）   </w:t>
      </w:r>
      <w:r>
        <w:rPr>
          <w:rFonts w:hint="eastAsia" w:ascii="宋体" w:hAnsi="宋体" w:eastAsia="宋体" w:cs="宋体"/>
          <w:color w:val="auto"/>
          <w:sz w:val="24"/>
          <w:szCs w:val="24"/>
          <w:highlight w:val="none"/>
        </w:rPr>
        <w:t>为本公司（工厂）的合法代理人，就贵方组织的</w:t>
      </w:r>
      <w:r>
        <w:rPr>
          <w:rFonts w:hint="eastAsia" w:ascii="宋体" w:hAnsi="宋体" w:eastAsia="宋体" w:cs="宋体"/>
          <w:color w:val="auto"/>
          <w:sz w:val="24"/>
          <w:szCs w:val="24"/>
          <w:highlight w:val="none"/>
          <w:u w:val="single"/>
          <w:lang w:eastAsia="zh-CN"/>
        </w:rPr>
        <w:t>2026年古里镇雨污水管网养护及零星维修项目</w:t>
      </w:r>
      <w:r>
        <w:rPr>
          <w:rFonts w:hint="eastAsia" w:ascii="宋体" w:hAnsi="宋体" w:eastAsia="宋体" w:cs="宋体"/>
          <w:color w:val="auto"/>
          <w:sz w:val="24"/>
          <w:szCs w:val="24"/>
          <w:highlight w:val="none"/>
          <w:u w:val="single"/>
        </w:rPr>
        <w:t xml:space="preserve"> （项目编号：</w:t>
      </w:r>
      <w:r>
        <w:rPr>
          <w:rFonts w:hint="eastAsia" w:ascii="宋体" w:hAnsi="宋体" w:cs="宋体"/>
          <w:color w:val="auto"/>
          <w:sz w:val="24"/>
          <w:szCs w:val="24"/>
          <w:highlight w:val="none"/>
          <w:u w:val="single"/>
          <w:lang w:eastAsia="zh-CN"/>
        </w:rPr>
        <w:t>JSZC-320581-HXGW-G2025-0077</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的采购活动，以本公司（工厂）名义处理一切与之有关的事务。，以本公司名义处理一切与之有关的事务。</w:t>
      </w:r>
    </w:p>
    <w:p w14:paraId="6670F7A2">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本授权书于年月日生效，被授权人无转委权。</w:t>
      </w:r>
    </w:p>
    <w:p w14:paraId="0B9F302B">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特此声明。</w:t>
      </w:r>
    </w:p>
    <w:p w14:paraId="22BF8996">
      <w:pPr>
        <w:spacing w:line="440" w:lineRule="exact"/>
        <w:rPr>
          <w:rFonts w:hint="eastAsia" w:ascii="宋体" w:hAnsi="宋体" w:eastAsia="宋体" w:cs="宋体"/>
          <w:color w:val="auto"/>
          <w:sz w:val="24"/>
          <w:szCs w:val="24"/>
          <w:highlight w:val="none"/>
        </w:rPr>
      </w:pPr>
    </w:p>
    <w:p w14:paraId="0E8459BC">
      <w:pPr>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投标人</w:t>
      </w:r>
      <w:r>
        <w:rPr>
          <w:rFonts w:hint="eastAsia" w:ascii="宋体" w:hAnsi="宋体" w:eastAsia="宋体" w:cs="宋体"/>
          <w:bCs/>
          <w:color w:val="auto"/>
          <w:sz w:val="24"/>
          <w:szCs w:val="24"/>
          <w:highlight w:val="none"/>
        </w:rPr>
        <w:t>名称：</w:t>
      </w:r>
      <w:r>
        <w:rPr>
          <w:rFonts w:hint="eastAsia" w:ascii="宋体" w:hAnsi="宋体" w:eastAsia="宋体" w:cs="宋体"/>
          <w:color w:val="auto"/>
          <w:sz w:val="24"/>
          <w:szCs w:val="24"/>
          <w:highlight w:val="none"/>
          <w:u w:val="single"/>
        </w:rPr>
        <w:t>（加盖CA电子公章）</w:t>
      </w:r>
    </w:p>
    <w:p w14:paraId="24F4A583">
      <w:pPr>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地      址：</w:t>
      </w:r>
      <w:r>
        <w:rPr>
          <w:rFonts w:hint="eastAsia" w:ascii="宋体" w:hAnsi="宋体" w:eastAsia="宋体" w:cs="宋体"/>
          <w:bCs/>
          <w:color w:val="auto"/>
          <w:sz w:val="24"/>
          <w:szCs w:val="24"/>
          <w:highlight w:val="none"/>
          <w:u w:val="single"/>
        </w:rPr>
        <w:t xml:space="preserve">                   </w:t>
      </w:r>
    </w:p>
    <w:p w14:paraId="7491FA69">
      <w:pPr>
        <w:rPr>
          <w:rFonts w:hint="eastAsia" w:ascii="宋体" w:hAnsi="宋体" w:eastAsia="宋体" w:cs="宋体"/>
          <w:bCs/>
          <w:color w:val="auto"/>
          <w:sz w:val="24"/>
          <w:szCs w:val="24"/>
          <w:highlight w:val="none"/>
        </w:rPr>
      </w:pPr>
    </w:p>
    <w:p w14:paraId="276175C4">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法定代表人姓名：</w:t>
      </w:r>
      <w:r>
        <w:rPr>
          <w:rFonts w:hint="eastAsia" w:ascii="宋体" w:hAnsi="宋体" w:eastAsia="宋体" w:cs="宋体"/>
          <w:bCs/>
          <w:color w:val="auto"/>
          <w:sz w:val="24"/>
          <w:szCs w:val="24"/>
          <w:highlight w:val="none"/>
          <w:u w:val="single"/>
        </w:rPr>
        <w:t xml:space="preserve">                   </w:t>
      </w:r>
    </w:p>
    <w:p w14:paraId="40EBA5FF">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公民身份号码：</w:t>
      </w:r>
      <w:r>
        <w:rPr>
          <w:rFonts w:hint="eastAsia" w:ascii="宋体" w:hAnsi="宋体" w:eastAsia="宋体" w:cs="宋体"/>
          <w:bCs/>
          <w:color w:val="auto"/>
          <w:sz w:val="24"/>
          <w:szCs w:val="24"/>
          <w:highlight w:val="none"/>
          <w:u w:val="single"/>
        </w:rPr>
        <w:t xml:space="preserve">                   </w:t>
      </w:r>
    </w:p>
    <w:p w14:paraId="21FAE2F3">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职      务：</w:t>
      </w:r>
      <w:r>
        <w:rPr>
          <w:rFonts w:hint="eastAsia" w:ascii="宋体" w:hAnsi="宋体" w:eastAsia="宋体" w:cs="宋体"/>
          <w:bCs/>
          <w:color w:val="auto"/>
          <w:sz w:val="24"/>
          <w:szCs w:val="24"/>
          <w:highlight w:val="none"/>
          <w:u w:val="single"/>
        </w:rPr>
        <w:t xml:space="preserve">                   </w:t>
      </w:r>
    </w:p>
    <w:p w14:paraId="2BFBBA22">
      <w:pPr>
        <w:rPr>
          <w:rFonts w:hint="eastAsia" w:ascii="宋体" w:hAnsi="宋体" w:eastAsia="宋体" w:cs="宋体"/>
          <w:bCs/>
          <w:color w:val="auto"/>
          <w:sz w:val="24"/>
          <w:szCs w:val="24"/>
          <w:highlight w:val="none"/>
        </w:rPr>
      </w:pPr>
    </w:p>
    <w:p w14:paraId="2283EF8C">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授权代表姓名：</w:t>
      </w:r>
      <w:r>
        <w:rPr>
          <w:rFonts w:hint="eastAsia" w:ascii="宋体" w:hAnsi="宋体" w:eastAsia="宋体" w:cs="宋体"/>
          <w:bCs/>
          <w:color w:val="auto"/>
          <w:sz w:val="24"/>
          <w:szCs w:val="24"/>
          <w:highlight w:val="none"/>
          <w:u w:val="single"/>
        </w:rPr>
        <w:t xml:space="preserve">                   </w:t>
      </w:r>
    </w:p>
    <w:p w14:paraId="4002F537">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公民身份号码：</w:t>
      </w:r>
      <w:r>
        <w:rPr>
          <w:rFonts w:hint="eastAsia" w:ascii="宋体" w:hAnsi="宋体" w:eastAsia="宋体" w:cs="宋体"/>
          <w:bCs/>
          <w:color w:val="auto"/>
          <w:sz w:val="24"/>
          <w:szCs w:val="24"/>
          <w:highlight w:val="none"/>
          <w:u w:val="single"/>
        </w:rPr>
        <w:t xml:space="preserve">                   </w:t>
      </w:r>
    </w:p>
    <w:p w14:paraId="2BA604C8">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职      务：</w:t>
      </w:r>
      <w:r>
        <w:rPr>
          <w:rFonts w:hint="eastAsia" w:ascii="宋体" w:hAnsi="宋体" w:eastAsia="宋体" w:cs="宋体"/>
          <w:bCs/>
          <w:color w:val="auto"/>
          <w:sz w:val="24"/>
          <w:szCs w:val="24"/>
          <w:highlight w:val="none"/>
          <w:u w:val="single"/>
        </w:rPr>
        <w:t xml:space="preserve">                   </w:t>
      </w:r>
    </w:p>
    <w:p w14:paraId="3D0D0830">
      <w:pPr>
        <w:rPr>
          <w:rFonts w:hint="eastAsia" w:ascii="宋体" w:hAnsi="宋体" w:eastAsia="宋体" w:cs="宋体"/>
          <w:b/>
          <w:color w:val="auto"/>
          <w:sz w:val="24"/>
          <w:szCs w:val="24"/>
          <w:highlight w:val="none"/>
        </w:rPr>
      </w:pPr>
    </w:p>
    <w:p w14:paraId="373B6B1C">
      <w:pPr>
        <w:spacing w:line="440" w:lineRule="exact"/>
        <w:rPr>
          <w:rFonts w:hint="eastAsia" w:ascii="宋体" w:hAnsi="宋体" w:eastAsia="宋体" w:cs="宋体"/>
          <w:b/>
          <w:bCs/>
          <w:color w:val="auto"/>
          <w:sz w:val="24"/>
          <w:szCs w:val="24"/>
          <w:highlight w:val="none"/>
        </w:rPr>
      </w:pPr>
      <w:r>
        <w:rPr>
          <w:rFonts w:hint="eastAsia" w:ascii="宋体" w:hAnsi="宋体" w:eastAsia="宋体" w:cs="宋体"/>
          <w:b/>
          <w:color w:val="auto"/>
          <w:sz w:val="24"/>
          <w:highlight w:val="none"/>
        </w:rPr>
        <w:t>注：如法定代表人签署投标文件的，“法人授权书”可不提供，但需提供法人代表人身份证正反面及营业执照扫描件。</w:t>
      </w:r>
    </w:p>
    <w:p w14:paraId="5FD61A13">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34F52025">
      <w:pPr>
        <w:pStyle w:val="3"/>
        <w:rPr>
          <w:rFonts w:hint="eastAsia" w:ascii="宋体" w:hAnsi="宋体" w:eastAsia="宋体" w:cs="宋体"/>
          <w:color w:val="auto"/>
          <w:highlight w:val="none"/>
        </w:rPr>
      </w:pPr>
      <w:bookmarkStart w:id="301" w:name="_Toc23751"/>
      <w:r>
        <w:rPr>
          <w:rFonts w:hint="eastAsia" w:ascii="宋体" w:hAnsi="宋体" w:eastAsia="宋体" w:cs="宋体"/>
          <w:color w:val="auto"/>
          <w:highlight w:val="none"/>
        </w:rPr>
        <w:t>附件</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 xml:space="preserve"> 投标函</w:t>
      </w:r>
      <w:bookmarkEnd w:id="301"/>
    </w:p>
    <w:p w14:paraId="0D42CD43">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致：涵熙（苏州）工程顾问有限公司</w:t>
      </w:r>
    </w:p>
    <w:p w14:paraId="14025527">
      <w:pPr>
        <w:spacing w:line="440" w:lineRule="exact"/>
        <w:ind w:firstLine="480"/>
        <w:jc w:val="left"/>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根据贵方的</w:t>
      </w:r>
      <w:r>
        <w:rPr>
          <w:rFonts w:hint="eastAsia" w:ascii="宋体" w:hAnsi="宋体" w:eastAsia="宋体" w:cs="宋体"/>
          <w:b/>
          <w:color w:val="auto"/>
          <w:sz w:val="24"/>
          <w:szCs w:val="24"/>
          <w:highlight w:val="none"/>
          <w:u w:val="single"/>
          <w:lang w:eastAsia="zh-CN"/>
        </w:rPr>
        <w:t>2026年古里镇雨污水管网养护及零星维修项目</w:t>
      </w:r>
      <w:r>
        <w:rPr>
          <w:rFonts w:hint="eastAsia" w:ascii="宋体" w:hAnsi="宋体" w:eastAsia="宋体" w:cs="宋体"/>
          <w:color w:val="auto"/>
          <w:sz w:val="24"/>
          <w:szCs w:val="24"/>
          <w:highlight w:val="none"/>
        </w:rPr>
        <w:t>招标文件（项目编号：</w:t>
      </w:r>
      <w:r>
        <w:rPr>
          <w:rFonts w:hint="eastAsia" w:ascii="宋体" w:hAnsi="宋体" w:cs="宋体"/>
          <w:color w:val="auto"/>
          <w:sz w:val="24"/>
          <w:szCs w:val="24"/>
          <w:highlight w:val="none"/>
          <w:lang w:eastAsia="zh-CN"/>
        </w:rPr>
        <w:t>JSZC-320581-HXGW-G2025-0077</w:t>
      </w:r>
      <w:r>
        <w:rPr>
          <w:rFonts w:hint="eastAsia" w:ascii="宋体" w:hAnsi="宋体" w:eastAsia="宋体" w:cs="宋体"/>
          <w:color w:val="auto"/>
          <w:sz w:val="24"/>
          <w:szCs w:val="24"/>
          <w:highlight w:val="none"/>
        </w:rPr>
        <w:t>），</w:t>
      </w:r>
      <w:r>
        <w:rPr>
          <w:rFonts w:hint="eastAsia" w:ascii="宋体" w:hAnsi="宋体" w:eastAsia="宋体" w:cs="宋体"/>
          <w:color w:val="auto"/>
          <w:kern w:val="0"/>
          <w:sz w:val="24"/>
          <w:szCs w:val="24"/>
          <w:highlight w:val="none"/>
        </w:rPr>
        <w:t>正式授权下述签字人______(姓名)代表我方______________（投标人的名称），全权处理本次项目投标的有关事宜。</w:t>
      </w:r>
    </w:p>
    <w:p w14:paraId="2FD8F1A6">
      <w:pPr>
        <w:spacing w:line="440" w:lineRule="exact"/>
        <w:ind w:firstLine="48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据此函，__________签字人兹宣布同意如下：</w:t>
      </w:r>
    </w:p>
    <w:p w14:paraId="4FCFEB57">
      <w:pPr>
        <w:pStyle w:val="174"/>
        <w:spacing w:before="0" w:after="0" w:line="420" w:lineRule="exact"/>
        <w:rPr>
          <w:rFonts w:hint="eastAsia" w:ascii="宋体" w:hAnsi="宋体" w:eastAsia="宋体" w:cs="宋体"/>
          <w:color w:val="auto"/>
          <w:szCs w:val="21"/>
          <w:highlight w:val="none"/>
        </w:rPr>
      </w:pPr>
      <w:bookmarkStart w:id="302" w:name="_Toc496180957"/>
      <w:bookmarkStart w:id="303" w:name="_Toc495934670"/>
      <w:bookmarkStart w:id="304" w:name="_Toc496528251"/>
      <w:bookmarkStart w:id="305" w:name="_Toc23143"/>
      <w:bookmarkStart w:id="306" w:name="_Toc2220"/>
      <w:r>
        <w:rPr>
          <w:rFonts w:hint="eastAsia" w:ascii="宋体" w:hAnsi="宋体" w:eastAsia="宋体" w:cs="宋体"/>
          <w:color w:val="auto"/>
          <w:szCs w:val="21"/>
          <w:highlight w:val="none"/>
        </w:rPr>
        <w:t>1.按招标文件规定的各项要求，向买方提供所需服务（包含与服务相关的货物）。</w:t>
      </w:r>
    </w:p>
    <w:p w14:paraId="78374FA7">
      <w:pPr>
        <w:pStyle w:val="174"/>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2.我们完全理解贵方不一定将合同授予最低报价的投标人。</w:t>
      </w:r>
    </w:p>
    <w:p w14:paraId="7922F21A">
      <w:pPr>
        <w:pStyle w:val="174"/>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3.我们已详细审核全部招标文件及其有效补充文件，我们知道必须放弃提出含糊不清或误解问题的权利。</w:t>
      </w:r>
    </w:p>
    <w:p w14:paraId="70118769">
      <w:pPr>
        <w:pStyle w:val="174"/>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4.我们同意从规定的开标日期起遵循本投标文件，并在规定的投标有效期期满之前均具有约束力。</w:t>
      </w:r>
    </w:p>
    <w:p w14:paraId="207126DD">
      <w:pPr>
        <w:pStyle w:val="174"/>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5.同意向贵方提供贵方可能另外要求的与投标有关的任何证据或资料，并保证我方已提供和将要提供的文件是真实的、准确的。</w:t>
      </w:r>
    </w:p>
    <w:p w14:paraId="3E5DB9FB">
      <w:pPr>
        <w:pStyle w:val="174"/>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6.一旦我方中标,我方将根据招标文件的规定，严格履行合同的责任和义务,并保证在招标文件规定的时间完成项目，交付买方验收、使用。</w:t>
      </w:r>
    </w:p>
    <w:p w14:paraId="590E651C">
      <w:pPr>
        <w:pStyle w:val="174"/>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7.与本投标有关的正式通讯地址为：</w:t>
      </w:r>
    </w:p>
    <w:p w14:paraId="4AE73010">
      <w:pPr>
        <w:pStyle w:val="174"/>
        <w:spacing w:before="0" w:after="0" w:line="420" w:lineRule="exact"/>
        <w:ind w:left="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          址：</w:t>
      </w:r>
    </w:p>
    <w:p w14:paraId="071156C0">
      <w:pPr>
        <w:pStyle w:val="174"/>
        <w:spacing w:before="0" w:after="0" w:line="420" w:lineRule="exact"/>
        <w:ind w:left="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邮          编：</w:t>
      </w:r>
    </w:p>
    <w:p w14:paraId="5B2EC3F5">
      <w:pPr>
        <w:pStyle w:val="174"/>
        <w:spacing w:before="0" w:after="0" w:line="420" w:lineRule="exact"/>
        <w:ind w:left="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          话：</w:t>
      </w:r>
    </w:p>
    <w:p w14:paraId="36F3C00E">
      <w:pPr>
        <w:pStyle w:val="174"/>
        <w:spacing w:before="0" w:after="0" w:line="420" w:lineRule="exact"/>
        <w:ind w:left="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传          真：</w:t>
      </w:r>
    </w:p>
    <w:p w14:paraId="33C27D8D">
      <w:pPr>
        <w:pStyle w:val="174"/>
        <w:spacing w:before="0" w:after="0" w:line="420" w:lineRule="exact"/>
        <w:ind w:left="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投标人开户行：</w:t>
      </w:r>
    </w:p>
    <w:p w14:paraId="05FB208E">
      <w:pPr>
        <w:pStyle w:val="174"/>
        <w:spacing w:before="0" w:after="0" w:line="420" w:lineRule="exact"/>
        <w:ind w:left="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账          号： </w:t>
      </w:r>
    </w:p>
    <w:p w14:paraId="215C5BF2">
      <w:pPr>
        <w:pStyle w:val="174"/>
        <w:spacing w:before="0" w:after="0" w:line="420" w:lineRule="exact"/>
        <w:ind w:left="420"/>
        <w:rPr>
          <w:rFonts w:hint="eastAsia" w:ascii="宋体" w:hAnsi="宋体" w:eastAsia="宋体" w:cs="宋体"/>
          <w:b/>
          <w:bCs/>
          <w:color w:val="auto"/>
          <w:sz w:val="28"/>
          <w:szCs w:val="28"/>
          <w:highlight w:val="none"/>
        </w:rPr>
      </w:pPr>
      <w:r>
        <w:rPr>
          <w:rFonts w:hint="eastAsia" w:ascii="宋体" w:hAnsi="宋体" w:eastAsia="宋体" w:cs="宋体"/>
          <w:color w:val="auto"/>
          <w:szCs w:val="21"/>
          <w:highlight w:val="none"/>
        </w:rPr>
        <w:t>日           期：________年____月____日</w:t>
      </w:r>
      <w:r>
        <w:rPr>
          <w:rFonts w:hint="eastAsia" w:ascii="宋体" w:hAnsi="宋体" w:eastAsia="宋体" w:cs="宋体"/>
          <w:b/>
          <w:bCs/>
          <w:color w:val="auto"/>
          <w:sz w:val="28"/>
          <w:szCs w:val="28"/>
          <w:highlight w:val="none"/>
        </w:rPr>
        <w:br w:type="page"/>
      </w:r>
    </w:p>
    <w:p w14:paraId="4F67F996">
      <w:pPr>
        <w:keepNext/>
        <w:jc w:val="center"/>
        <w:outlineLvl w:val="1"/>
        <w:rPr>
          <w:rFonts w:hint="eastAsia" w:ascii="宋体" w:hAnsi="宋体" w:eastAsia="宋体" w:cs="宋体"/>
          <w:b/>
          <w:bCs/>
          <w:color w:val="auto"/>
          <w:sz w:val="28"/>
          <w:szCs w:val="28"/>
          <w:highlight w:val="none"/>
        </w:rPr>
      </w:pPr>
      <w:bookmarkStart w:id="307" w:name="_Toc20923"/>
      <w:r>
        <w:rPr>
          <w:rFonts w:hint="eastAsia" w:ascii="宋体" w:hAnsi="宋体" w:eastAsia="宋体" w:cs="宋体"/>
          <w:b/>
          <w:bCs/>
          <w:color w:val="auto"/>
          <w:sz w:val="28"/>
          <w:szCs w:val="28"/>
          <w:highlight w:val="none"/>
        </w:rPr>
        <w:t>附件</w:t>
      </w:r>
      <w:bookmarkEnd w:id="302"/>
      <w:bookmarkEnd w:id="303"/>
      <w:bookmarkEnd w:id="304"/>
      <w:bookmarkEnd w:id="305"/>
      <w:r>
        <w:rPr>
          <w:rFonts w:hint="eastAsia" w:ascii="宋体" w:hAnsi="宋体" w:eastAsia="宋体" w:cs="宋体"/>
          <w:b/>
          <w:bCs/>
          <w:color w:val="auto"/>
          <w:sz w:val="28"/>
          <w:szCs w:val="28"/>
          <w:highlight w:val="none"/>
          <w:lang w:val="en-US" w:eastAsia="zh-CN"/>
        </w:rPr>
        <w:t>6</w:t>
      </w:r>
      <w:r>
        <w:rPr>
          <w:rFonts w:hint="eastAsia" w:ascii="宋体" w:hAnsi="宋体" w:eastAsia="宋体" w:cs="宋体"/>
          <w:b/>
          <w:bCs/>
          <w:color w:val="auto"/>
          <w:sz w:val="28"/>
          <w:szCs w:val="28"/>
          <w:highlight w:val="none"/>
        </w:rPr>
        <w:t xml:space="preserve"> 中小企业声明函</w:t>
      </w:r>
      <w:bookmarkEnd w:id="306"/>
      <w:bookmarkEnd w:id="307"/>
    </w:p>
    <w:p w14:paraId="216CD935">
      <w:pPr>
        <w:spacing w:line="360" w:lineRule="auto"/>
        <w:ind w:firstLine="480" w:firstLineChars="20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本公司郑重声明，根据《政府采购促进中小企业发展管理办法》（财库[2020]46号）的规定，本公司参加</w:t>
      </w:r>
      <w:r>
        <w:rPr>
          <w:rFonts w:hint="eastAsia" w:ascii="宋体" w:hAnsi="宋体" w:eastAsia="宋体" w:cs="宋体"/>
          <w:color w:val="auto"/>
          <w:sz w:val="24"/>
          <w:szCs w:val="24"/>
          <w:highlight w:val="none"/>
          <w:u w:val="single"/>
          <w:lang w:eastAsia="zh-CN"/>
        </w:rPr>
        <w:t>常熟市古里镇人民政府</w:t>
      </w:r>
      <w:r>
        <w:rPr>
          <w:rFonts w:hint="eastAsia" w:ascii="宋体" w:hAnsi="宋体" w:eastAsia="宋体" w:cs="宋体"/>
          <w:color w:val="auto"/>
          <w:sz w:val="24"/>
          <w:szCs w:val="24"/>
          <w:highlight w:val="none"/>
          <w:lang w:val="zh-CN"/>
        </w:rPr>
        <w:t>的</w:t>
      </w:r>
      <w:r>
        <w:rPr>
          <w:rFonts w:hint="eastAsia" w:ascii="宋体" w:hAnsi="宋体" w:eastAsia="宋体" w:cs="宋体"/>
          <w:color w:val="auto"/>
          <w:sz w:val="24"/>
          <w:szCs w:val="24"/>
          <w:highlight w:val="none"/>
          <w:u w:val="single"/>
          <w:lang w:eastAsia="zh-CN"/>
        </w:rPr>
        <w:t>2026年古里镇雨污水管网养护及零星维修项目</w:t>
      </w:r>
      <w:r>
        <w:rPr>
          <w:rFonts w:hint="eastAsia" w:ascii="宋体" w:hAnsi="宋体" w:eastAsia="宋体" w:cs="宋体"/>
          <w:color w:val="auto"/>
          <w:sz w:val="24"/>
          <w:szCs w:val="21"/>
          <w:highlight w:val="none"/>
        </w:rPr>
        <w:t>采购活动，服务全部由符合政策要求的中小企业承接。相关企业的具体情况如下：</w:t>
      </w:r>
    </w:p>
    <w:p w14:paraId="6F42388E">
      <w:pPr>
        <w:widowControl/>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r>
        <w:rPr>
          <w:rFonts w:hint="eastAsia" w:ascii="宋体" w:hAnsi="宋体" w:eastAsia="宋体" w:cs="宋体"/>
          <w:color w:val="auto"/>
          <w:sz w:val="24"/>
          <w:szCs w:val="24"/>
          <w:highlight w:val="none"/>
          <w:u w:val="single"/>
          <w:lang w:eastAsia="zh-CN"/>
        </w:rPr>
        <w:t>2026年古里镇雨污水管网养护及零星维修项目</w:t>
      </w:r>
      <w:r>
        <w:rPr>
          <w:rFonts w:hint="eastAsia" w:ascii="宋体" w:hAnsi="宋体" w:eastAsia="宋体" w:cs="宋体"/>
          <w:color w:val="auto"/>
          <w:kern w:val="0"/>
          <w:sz w:val="24"/>
          <w:szCs w:val="24"/>
          <w:highlight w:val="none"/>
        </w:rPr>
        <w:t>，属于</w:t>
      </w:r>
      <w:r>
        <w:rPr>
          <w:rFonts w:hint="eastAsia" w:ascii="宋体" w:hAnsi="宋体" w:eastAsia="宋体" w:cs="宋体"/>
          <w:color w:val="auto"/>
          <w:kern w:val="0"/>
          <w:sz w:val="24"/>
          <w:szCs w:val="24"/>
          <w:highlight w:val="none"/>
          <w:u w:val="single"/>
        </w:rPr>
        <w:t>其他未列明行业</w:t>
      </w:r>
      <w:r>
        <w:rPr>
          <w:rFonts w:hint="eastAsia" w:ascii="宋体" w:hAnsi="宋体" w:eastAsia="宋体" w:cs="宋体"/>
          <w:color w:val="auto"/>
          <w:kern w:val="0"/>
          <w:sz w:val="24"/>
          <w:szCs w:val="24"/>
          <w:highlight w:val="none"/>
        </w:rPr>
        <w:t>；承接企业为</w:t>
      </w:r>
      <w:r>
        <w:rPr>
          <w:rFonts w:hint="eastAsia" w:ascii="宋体" w:hAnsi="宋体" w:eastAsia="宋体" w:cs="宋体"/>
          <w:color w:val="auto"/>
          <w:kern w:val="0"/>
          <w:sz w:val="24"/>
          <w:szCs w:val="24"/>
          <w:highlight w:val="none"/>
          <w:u w:val="single"/>
        </w:rPr>
        <w:t>（企业名称）</w:t>
      </w:r>
      <w:r>
        <w:rPr>
          <w:rFonts w:hint="eastAsia" w:ascii="宋体" w:hAnsi="宋体" w:eastAsia="宋体" w:cs="宋体"/>
          <w:color w:val="auto"/>
          <w:kern w:val="0"/>
          <w:sz w:val="24"/>
          <w:szCs w:val="24"/>
          <w:highlight w:val="none"/>
        </w:rPr>
        <w:t>，</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w:t>
      </w:r>
      <w:r>
        <w:rPr>
          <w:rFonts w:hint="eastAsia" w:ascii="宋体" w:hAnsi="宋体" w:eastAsia="宋体" w:cs="宋体"/>
          <w:color w:val="auto"/>
          <w:kern w:val="0"/>
          <w:sz w:val="24"/>
          <w:szCs w:val="24"/>
          <w:highlight w:val="none"/>
        </w:rPr>
        <w:t>属于</w:t>
      </w:r>
      <w:r>
        <w:rPr>
          <w:rFonts w:hint="eastAsia" w:ascii="宋体" w:hAnsi="宋体" w:eastAsia="宋体" w:cs="宋体"/>
          <w:color w:val="auto"/>
          <w:kern w:val="0"/>
          <w:sz w:val="24"/>
          <w:szCs w:val="24"/>
          <w:highlight w:val="none"/>
          <w:u w:val="single"/>
        </w:rPr>
        <w:t>（中型企业、小型企业、微型企业）</w:t>
      </w:r>
      <w:r>
        <w:rPr>
          <w:rFonts w:hint="eastAsia" w:ascii="宋体" w:hAnsi="宋体" w:eastAsia="宋体" w:cs="宋体"/>
          <w:color w:val="auto"/>
          <w:kern w:val="0"/>
          <w:sz w:val="24"/>
          <w:szCs w:val="24"/>
          <w:highlight w:val="none"/>
        </w:rPr>
        <w:t>。</w:t>
      </w:r>
    </w:p>
    <w:p w14:paraId="26FF5F78">
      <w:pPr>
        <w:widowControl/>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以上企业，不属于大企业的分支机构，不存在控股股东为大企业的情形，也不存在与大企业的负责人为同一人的情形。</w:t>
      </w:r>
    </w:p>
    <w:p w14:paraId="314EE239">
      <w:pPr>
        <w:widowControl/>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本企业对上述声明内容的真实性负责。如有虚假，将依法承担相应责任。</w:t>
      </w:r>
    </w:p>
    <w:p w14:paraId="24C6965C">
      <w:pPr>
        <w:pStyle w:val="19"/>
        <w:spacing w:before="55" w:line="560" w:lineRule="exact"/>
        <w:ind w:right="414" w:firstLine="472" w:firstLineChars="200"/>
        <w:rPr>
          <w:rFonts w:hint="eastAsia" w:ascii="宋体" w:hAnsi="宋体" w:eastAsia="宋体" w:cs="宋体"/>
          <w:color w:val="auto"/>
          <w:spacing w:val="-2"/>
          <w:sz w:val="24"/>
          <w:szCs w:val="24"/>
          <w:highlight w:val="none"/>
        </w:rPr>
      </w:pPr>
    </w:p>
    <w:p w14:paraId="7F342680">
      <w:pPr>
        <w:pStyle w:val="19"/>
        <w:spacing w:before="35" w:line="440" w:lineRule="exact"/>
        <w:ind w:left="4060" w:right="2166" w:firstLine="358" w:firstLineChars="152"/>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企业名称（加盖CA电子公章）：</w:t>
      </w:r>
    </w:p>
    <w:p w14:paraId="41EF4810">
      <w:pPr>
        <w:pStyle w:val="19"/>
        <w:spacing w:before="35" w:line="440" w:lineRule="exact"/>
        <w:ind w:left="4060" w:right="2166" w:firstLine="358" w:firstLineChars="152"/>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日期：</w:t>
      </w:r>
    </w:p>
    <w:p w14:paraId="24C5C197">
      <w:pPr>
        <w:jc w:val="center"/>
        <w:rPr>
          <w:rFonts w:hint="eastAsia" w:ascii="宋体" w:hAnsi="宋体" w:eastAsia="宋体" w:cs="宋体"/>
          <w:color w:val="auto"/>
          <w:sz w:val="24"/>
          <w:szCs w:val="24"/>
          <w:highlight w:val="none"/>
        </w:rPr>
      </w:pPr>
    </w:p>
    <w:p w14:paraId="2F2FD223">
      <w:pPr>
        <w:jc w:val="center"/>
        <w:rPr>
          <w:rFonts w:hint="eastAsia" w:ascii="宋体" w:hAnsi="宋体" w:eastAsia="宋体" w:cs="宋体"/>
          <w:color w:val="auto"/>
          <w:sz w:val="24"/>
          <w:szCs w:val="24"/>
          <w:highlight w:val="none"/>
        </w:rPr>
      </w:pPr>
    </w:p>
    <w:p w14:paraId="6BA3AD3A">
      <w:pPr>
        <w:jc w:val="center"/>
        <w:rPr>
          <w:rFonts w:hint="eastAsia" w:ascii="宋体" w:hAnsi="宋体" w:eastAsia="宋体" w:cs="宋体"/>
          <w:color w:val="auto"/>
          <w:sz w:val="24"/>
          <w:szCs w:val="24"/>
          <w:highlight w:val="none"/>
        </w:rPr>
      </w:pPr>
    </w:p>
    <w:p w14:paraId="2205F3C3">
      <w:pPr>
        <w:spacing w:line="440" w:lineRule="exact"/>
        <w:jc w:val="left"/>
        <w:rPr>
          <w:rFonts w:hint="eastAsia" w:ascii="宋体" w:hAnsi="宋体" w:eastAsia="宋体" w:cs="宋体"/>
          <w:b/>
          <w:bCs/>
          <w:color w:val="auto"/>
          <w:sz w:val="24"/>
          <w:szCs w:val="32"/>
          <w:highlight w:val="none"/>
        </w:rPr>
      </w:pPr>
      <w:r>
        <w:rPr>
          <w:rFonts w:hint="eastAsia" w:ascii="宋体" w:hAnsi="宋体" w:eastAsia="宋体" w:cs="宋体"/>
          <w:b/>
          <w:color w:val="auto"/>
          <w:sz w:val="24"/>
          <w:szCs w:val="24"/>
          <w:highlight w:val="none"/>
        </w:rPr>
        <w:t>注：（1）从业人员、营业收入、资产总额填报上一年度数据，无上一年度数据的新成立企业</w:t>
      </w:r>
      <w:r>
        <w:rPr>
          <w:rFonts w:hint="eastAsia" w:ascii="宋体" w:hAnsi="宋体" w:eastAsia="宋体" w:cs="宋体"/>
          <w:b/>
          <w:bCs/>
          <w:color w:val="auto"/>
          <w:sz w:val="24"/>
          <w:szCs w:val="32"/>
          <w:highlight w:val="none"/>
        </w:rPr>
        <w:t>可不填报。</w:t>
      </w:r>
    </w:p>
    <w:p w14:paraId="06B6311B">
      <w:pPr>
        <w:spacing w:line="44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（2）本项目所属行业为：其他未列明行业。</w:t>
      </w:r>
    </w:p>
    <w:p w14:paraId="1BDB7ABD">
      <w:pPr>
        <w:spacing w:line="48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（3）上述“中小企业声明函”格式原则上不得改动，因擅自改动引起的评审风险由投标人自行承担。</w:t>
      </w:r>
    </w:p>
    <w:p w14:paraId="4E3E09A1">
      <w:pPr>
        <w:spacing w:line="480" w:lineRule="exact"/>
        <w:ind w:firstLine="482" w:firstLineChars="20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（4）如未对上述声明函内（中型企业、小型企业、微型企业）进行勾选或明确，引起的评审风险由投标人自行承担。</w:t>
      </w:r>
    </w:p>
    <w:p w14:paraId="239ABCB7">
      <w:pPr>
        <w:spacing w:line="440" w:lineRule="exact"/>
        <w:ind w:firstLine="562" w:firstLineChars="200"/>
        <w:rPr>
          <w:rFonts w:hint="eastAsia" w:ascii="宋体" w:hAnsi="宋体" w:eastAsia="宋体" w:cs="宋体"/>
          <w:b/>
          <w:bCs/>
          <w:color w:val="auto"/>
          <w:sz w:val="28"/>
          <w:szCs w:val="28"/>
          <w:highlight w:val="none"/>
        </w:rPr>
        <w:sectPr>
          <w:footerReference r:id="rId11" w:type="first"/>
          <w:footerReference r:id="rId10" w:type="default"/>
          <w:pgSz w:w="11907" w:h="16840"/>
          <w:pgMar w:top="1134" w:right="882" w:bottom="1134" w:left="1365" w:header="567" w:footer="794" w:gutter="0"/>
          <w:pgNumType w:start="1"/>
          <w:cols w:space="720" w:num="1"/>
          <w:titlePg/>
          <w:docGrid w:type="lines" w:linePitch="305" w:charSpace="0"/>
        </w:sectPr>
      </w:pPr>
    </w:p>
    <w:p w14:paraId="5AC2884A">
      <w:pPr>
        <w:spacing w:line="440" w:lineRule="exact"/>
        <w:jc w:val="center"/>
        <w:outlineLvl w:val="1"/>
        <w:rPr>
          <w:rFonts w:hint="eastAsia" w:ascii="宋体" w:hAnsi="宋体" w:eastAsia="宋体" w:cs="宋体"/>
          <w:color w:val="auto"/>
          <w:highlight w:val="none"/>
        </w:rPr>
      </w:pPr>
      <w:bookmarkStart w:id="308" w:name="_Toc9286"/>
      <w:bookmarkStart w:id="309" w:name="_Toc1911"/>
      <w:bookmarkStart w:id="310" w:name="_Toc1913"/>
      <w:r>
        <w:rPr>
          <w:rFonts w:hint="eastAsia" w:ascii="宋体" w:hAnsi="宋体" w:eastAsia="宋体" w:cs="宋体"/>
          <w:b/>
          <w:bCs/>
          <w:color w:val="auto"/>
          <w:sz w:val="28"/>
          <w:szCs w:val="28"/>
          <w:highlight w:val="none"/>
        </w:rPr>
        <w:t>附件</w:t>
      </w:r>
      <w:bookmarkEnd w:id="308"/>
      <w:r>
        <w:rPr>
          <w:rFonts w:hint="eastAsia" w:ascii="宋体" w:hAnsi="宋体" w:eastAsia="宋体" w:cs="宋体"/>
          <w:b/>
          <w:bCs/>
          <w:color w:val="auto"/>
          <w:sz w:val="28"/>
          <w:szCs w:val="28"/>
          <w:highlight w:val="none"/>
          <w:lang w:val="en-US" w:eastAsia="zh-CN"/>
        </w:rPr>
        <w:t>7</w:t>
      </w:r>
      <w:r>
        <w:rPr>
          <w:rFonts w:hint="eastAsia" w:ascii="宋体" w:hAnsi="宋体" w:eastAsia="宋体" w:cs="宋体"/>
          <w:b/>
          <w:bCs/>
          <w:color w:val="auto"/>
          <w:sz w:val="28"/>
          <w:szCs w:val="28"/>
          <w:highlight w:val="none"/>
        </w:rPr>
        <w:t xml:space="preserve"> 残疾人福利性单位声明函</w:t>
      </w:r>
      <w:bookmarkEnd w:id="309"/>
      <w:bookmarkEnd w:id="310"/>
    </w:p>
    <w:p w14:paraId="79FEBF35">
      <w:pPr>
        <w:adjustRightInd w:val="0"/>
        <w:snapToGrid w:val="0"/>
        <w:spacing w:line="580" w:lineRule="exact"/>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7EBFEAD">
      <w:pPr>
        <w:adjustRightInd w:val="0"/>
        <w:snapToGrid w:val="0"/>
        <w:spacing w:line="580" w:lineRule="exact"/>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本单位对上述声明的真实性负责。如有虚假，将依法承担相应责任。</w:t>
      </w:r>
    </w:p>
    <w:p w14:paraId="4DD1E2D6">
      <w:pPr>
        <w:adjustRightInd w:val="0"/>
        <w:snapToGrid w:val="0"/>
        <w:spacing w:line="580" w:lineRule="exact"/>
        <w:jc w:val="left"/>
        <w:rPr>
          <w:rFonts w:hint="eastAsia" w:ascii="宋体" w:hAnsi="宋体" w:eastAsia="宋体" w:cs="宋体"/>
          <w:color w:val="auto"/>
          <w:sz w:val="24"/>
          <w:szCs w:val="24"/>
          <w:highlight w:val="none"/>
          <w:lang w:val="zh-CN"/>
        </w:rPr>
      </w:pPr>
    </w:p>
    <w:p w14:paraId="52F22EB8">
      <w:pPr>
        <w:adjustRightInd w:val="0"/>
        <w:snapToGrid w:val="0"/>
        <w:spacing w:line="580" w:lineRule="exact"/>
        <w:ind w:firstLine="4800" w:firstLineChars="200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单位名称：</w:t>
      </w:r>
    </w:p>
    <w:p w14:paraId="23F29FD3">
      <w:pPr>
        <w:adjustRightInd w:val="0"/>
        <w:snapToGrid w:val="0"/>
        <w:spacing w:line="580" w:lineRule="exact"/>
        <w:ind w:firstLine="4800" w:firstLineChars="200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日   期：</w:t>
      </w:r>
    </w:p>
    <w:p w14:paraId="0BB5EBB7">
      <w:pPr>
        <w:adjustRightInd w:val="0"/>
        <w:snapToGrid w:val="0"/>
        <w:spacing w:line="580" w:lineRule="exact"/>
        <w:jc w:val="left"/>
        <w:rPr>
          <w:rFonts w:hint="eastAsia" w:ascii="宋体" w:hAnsi="宋体" w:eastAsia="宋体" w:cs="宋体"/>
          <w:color w:val="auto"/>
          <w:sz w:val="24"/>
          <w:szCs w:val="24"/>
          <w:highlight w:val="none"/>
          <w:lang w:val="zh-CN"/>
        </w:rPr>
      </w:pPr>
    </w:p>
    <w:p w14:paraId="32461CA8">
      <w:pPr>
        <w:spacing w:line="44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请投标人认真阅读如下内容：</w:t>
      </w:r>
    </w:p>
    <w:p w14:paraId="5367E003">
      <w:pPr>
        <w:spacing w:line="44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注：根据《财政部、民政部、中国残疾人联合会关于促进残疾人就业政府采购政策的通知》（财库〔2017〕141号）的规定的划分标准，享受政府采购支持政策的残疾人福利性单位应当同时满足以下条件：</w:t>
      </w:r>
    </w:p>
    <w:p w14:paraId="60FFC955">
      <w:pPr>
        <w:spacing w:line="440" w:lineRule="exact"/>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1）安置的残疾人占本单位在职职工人数的比例不低于25%（含25%），并且安置的残疾人人数不少于10人（含10人）；</w:t>
      </w:r>
    </w:p>
    <w:p w14:paraId="2E97110B">
      <w:pPr>
        <w:spacing w:line="440" w:lineRule="exact"/>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2）依法与安置的每位残疾人签订了一年以上（含一年）的劳动合同或服务协议；</w:t>
      </w:r>
    </w:p>
    <w:p w14:paraId="3E7CEE9E">
      <w:pPr>
        <w:spacing w:line="440" w:lineRule="exact"/>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3）为安置的每位残疾人按月足额缴纳了基本养老保险、基本医疗保险、失业保险、工伤保险和生育保险等社会保险费；</w:t>
      </w:r>
    </w:p>
    <w:p w14:paraId="1820D747">
      <w:pPr>
        <w:spacing w:line="440" w:lineRule="exact"/>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4）通过银行等金融机构向安置的每位残疾人，按月支付了不低于单位所在区县适用的经省级人民政府批准的月最低工资标准的工资；</w:t>
      </w:r>
    </w:p>
    <w:p w14:paraId="024322D9">
      <w:pPr>
        <w:spacing w:line="440" w:lineRule="exact"/>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5）提供本单位制造的货物、承担的工程或者服务（以下简称产品），或者提供其他残疾人福利性单位制造的货物（不包括使用非残疾人福利性单位注册商标的货物）。</w:t>
      </w:r>
    </w:p>
    <w:p w14:paraId="5C439A48">
      <w:pPr>
        <w:spacing w:line="440" w:lineRule="exact"/>
        <w:ind w:firstLine="480" w:firstLineChars="200"/>
        <w:rPr>
          <w:rFonts w:hint="eastAsia" w:ascii="宋体" w:hAnsi="宋体" w:eastAsia="宋体" w:cs="宋体"/>
          <w:color w:val="auto"/>
          <w:highlight w:val="none"/>
        </w:rPr>
      </w:pPr>
      <w:r>
        <w:rPr>
          <w:rFonts w:hint="eastAsia" w:ascii="宋体" w:hAnsi="宋体" w:eastAsia="宋体" w:cs="宋体"/>
          <w:color w:val="auto"/>
          <w:sz w:val="24"/>
          <w:szCs w:val="22"/>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7A871C74">
      <w:pPr>
        <w:pStyle w:val="3"/>
        <w:keepNext w:val="0"/>
        <w:pageBreakBefore/>
        <w:rPr>
          <w:rFonts w:hint="eastAsia" w:ascii="宋体" w:hAnsi="宋体" w:eastAsia="宋体" w:cs="宋体"/>
          <w:color w:val="auto"/>
          <w:highlight w:val="none"/>
        </w:rPr>
      </w:pPr>
      <w:bookmarkStart w:id="311" w:name="_Toc31595"/>
      <w:r>
        <w:rPr>
          <w:rFonts w:hint="eastAsia" w:ascii="宋体" w:hAnsi="宋体" w:eastAsia="宋体" w:cs="宋体"/>
          <w:color w:val="auto"/>
          <w:highlight w:val="none"/>
        </w:rPr>
        <w:t>附件</w:t>
      </w:r>
      <w:r>
        <w:rPr>
          <w:rFonts w:hint="eastAsia" w:ascii="宋体" w:hAnsi="宋体" w:eastAsia="宋体" w:cs="宋体"/>
          <w:color w:val="auto"/>
          <w:highlight w:val="none"/>
          <w:lang w:val="en-US" w:eastAsia="zh-CN"/>
        </w:rPr>
        <w:t>8</w:t>
      </w:r>
      <w:r>
        <w:rPr>
          <w:rFonts w:hint="eastAsia" w:ascii="宋体" w:hAnsi="宋体" w:eastAsia="宋体" w:cs="宋体"/>
          <w:color w:val="auto"/>
          <w:highlight w:val="none"/>
        </w:rPr>
        <w:t xml:space="preserve"> 实质性要求响应及偏离表</w:t>
      </w:r>
      <w:bookmarkEnd w:id="311"/>
    </w:p>
    <w:tbl>
      <w:tblPr>
        <w:tblStyle w:val="55"/>
        <w:tblW w:w="0" w:type="auto"/>
        <w:tblInd w:w="30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834"/>
        <w:gridCol w:w="4666"/>
        <w:gridCol w:w="2260"/>
        <w:gridCol w:w="1526"/>
      </w:tblGrid>
      <w:tr w14:paraId="7E198A1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83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1AA3DC41">
            <w:pPr>
              <w:pBdr>
                <w:top w:val="none" w:color="000000" w:sz="0" w:space="0"/>
                <w:left w:val="none" w:color="000000" w:sz="0" w:space="0"/>
                <w:bottom w:val="none" w:color="000000" w:sz="0" w:space="0"/>
                <w:right w:val="none" w:color="000000" w:sz="0" w:space="0"/>
              </w:pBdr>
              <w:spacing w:line="400"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序号</w:t>
            </w:r>
          </w:p>
        </w:tc>
        <w:tc>
          <w:tcPr>
            <w:tcW w:w="4666"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1C17406E">
            <w:pPr>
              <w:pBdr>
                <w:top w:val="none" w:color="000000" w:sz="0" w:space="0"/>
                <w:left w:val="none" w:color="000000" w:sz="0" w:space="0"/>
                <w:bottom w:val="none" w:color="000000" w:sz="0" w:space="0"/>
                <w:right w:val="none" w:color="000000" w:sz="0" w:space="0"/>
              </w:pBdr>
              <w:spacing w:line="400"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技术要求和商务要求中的</w:t>
            </w:r>
            <w:r>
              <w:rPr>
                <w:rFonts w:hint="eastAsia" w:ascii="宋体" w:hAnsi="宋体" w:eastAsia="宋体" w:cs="宋体"/>
                <w:b/>
                <w:color w:val="auto"/>
                <w:sz w:val="24"/>
                <w:highlight w:val="none"/>
              </w:rPr>
              <w:t>实质性要求</w:t>
            </w:r>
          </w:p>
        </w:tc>
        <w:tc>
          <w:tcPr>
            <w:tcW w:w="2260"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292EA0EC">
            <w:pPr>
              <w:pBdr>
                <w:top w:val="none" w:color="000000" w:sz="0" w:space="0"/>
                <w:left w:val="none" w:color="000000" w:sz="0" w:space="0"/>
                <w:bottom w:val="none" w:color="000000" w:sz="0" w:space="0"/>
                <w:right w:val="none" w:color="000000" w:sz="0" w:space="0"/>
              </w:pBdr>
              <w:spacing w:line="400"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响应情况</w:t>
            </w:r>
          </w:p>
        </w:tc>
        <w:tc>
          <w:tcPr>
            <w:tcW w:w="1526"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13973837">
            <w:pPr>
              <w:pBdr>
                <w:top w:val="none" w:color="000000" w:sz="0" w:space="0"/>
                <w:left w:val="none" w:color="000000" w:sz="0" w:space="0"/>
                <w:bottom w:val="none" w:color="000000" w:sz="0" w:space="0"/>
                <w:right w:val="none" w:color="000000" w:sz="0" w:space="0"/>
              </w:pBdr>
              <w:spacing w:line="400"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超出、符合或偏离</w:t>
            </w:r>
          </w:p>
        </w:tc>
      </w:tr>
      <w:tr w14:paraId="5CB9085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834"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3099788">
            <w:pPr>
              <w:pBdr>
                <w:top w:val="none" w:color="000000" w:sz="0" w:space="0"/>
                <w:left w:val="none" w:color="000000" w:sz="0" w:space="0"/>
                <w:bottom w:val="none" w:color="000000" w:sz="0" w:space="0"/>
                <w:right w:val="none" w:color="000000" w:sz="0" w:space="0"/>
              </w:pBdr>
              <w:spacing w:line="400"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1</w:t>
            </w:r>
          </w:p>
        </w:tc>
        <w:tc>
          <w:tcPr>
            <w:tcW w:w="4666" w:type="dxa"/>
            <w:tcBorders>
              <w:top w:val="nil"/>
              <w:left w:val="nil"/>
              <w:bottom w:val="single" w:color="000000" w:sz="8" w:space="0"/>
              <w:right w:val="single" w:color="000000" w:sz="8" w:space="0"/>
            </w:tcBorders>
            <w:tcMar>
              <w:top w:w="0" w:type="dxa"/>
              <w:left w:w="108" w:type="dxa"/>
              <w:bottom w:w="0" w:type="dxa"/>
              <w:right w:w="108" w:type="dxa"/>
            </w:tcMar>
          </w:tcPr>
          <w:p w14:paraId="7817789F">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2260" w:type="dxa"/>
            <w:tcBorders>
              <w:top w:val="nil"/>
              <w:left w:val="nil"/>
              <w:bottom w:val="single" w:color="000000" w:sz="8" w:space="0"/>
              <w:right w:val="single" w:color="000000" w:sz="8" w:space="0"/>
            </w:tcBorders>
            <w:tcMar>
              <w:top w:w="0" w:type="dxa"/>
              <w:left w:w="108" w:type="dxa"/>
              <w:bottom w:w="0" w:type="dxa"/>
              <w:right w:w="108" w:type="dxa"/>
            </w:tcMar>
          </w:tcPr>
          <w:p w14:paraId="1092F1BC">
            <w:pPr>
              <w:pBdr>
                <w:top w:val="none" w:color="000000" w:sz="0" w:space="0"/>
                <w:left w:val="none" w:color="000000" w:sz="0" w:space="0"/>
                <w:bottom w:val="none" w:color="000000" w:sz="0" w:space="0"/>
                <w:right w:val="none" w:color="000000" w:sz="0" w:space="0"/>
              </w:pBdr>
              <w:spacing w:line="400"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1526" w:type="dxa"/>
            <w:tcBorders>
              <w:top w:val="nil"/>
              <w:left w:val="nil"/>
              <w:bottom w:val="single" w:color="000000" w:sz="8" w:space="0"/>
              <w:right w:val="single" w:color="000000" w:sz="8" w:space="0"/>
            </w:tcBorders>
            <w:tcMar>
              <w:top w:w="0" w:type="dxa"/>
              <w:left w:w="108" w:type="dxa"/>
              <w:bottom w:w="0" w:type="dxa"/>
              <w:right w:w="108" w:type="dxa"/>
            </w:tcMar>
          </w:tcPr>
          <w:p w14:paraId="19D4B476">
            <w:pPr>
              <w:pBdr>
                <w:top w:val="none" w:color="000000" w:sz="0" w:space="0"/>
                <w:left w:val="none" w:color="000000" w:sz="0" w:space="0"/>
                <w:bottom w:val="none" w:color="000000" w:sz="0" w:space="0"/>
                <w:right w:val="none" w:color="000000" w:sz="0" w:space="0"/>
              </w:pBdr>
              <w:spacing w:line="400"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 </w:t>
            </w:r>
          </w:p>
        </w:tc>
      </w:tr>
    </w:tbl>
    <w:p w14:paraId="799A0429">
      <w:pPr>
        <w:pBdr>
          <w:top w:val="none" w:color="000000" w:sz="0" w:space="0"/>
          <w:left w:val="none" w:color="000000" w:sz="0" w:space="0"/>
          <w:bottom w:val="none" w:color="000000" w:sz="0" w:space="0"/>
          <w:right w:val="none" w:color="000000" w:sz="0" w:space="0"/>
        </w:pBdr>
        <w:spacing w:line="400" w:lineRule="atLeast"/>
        <w:rPr>
          <w:rFonts w:hint="eastAsia" w:ascii="宋体" w:hAnsi="宋体" w:eastAsia="宋体" w:cs="宋体"/>
          <w:color w:val="auto"/>
          <w:highlight w:val="none"/>
        </w:rPr>
      </w:pPr>
      <w:r>
        <w:rPr>
          <w:rFonts w:hint="eastAsia" w:ascii="宋体" w:hAnsi="宋体" w:eastAsia="宋体" w:cs="宋体"/>
          <w:color w:val="auto"/>
          <w:sz w:val="24"/>
          <w:highlight w:val="none"/>
        </w:rPr>
        <w:t>备注：1.投标人必须对技术要求和商务要求中的不可实质性变动要求逐条做出明确响应，否则作无效投标处理。</w:t>
      </w:r>
    </w:p>
    <w:p w14:paraId="4EAC7899">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413A96FD">
      <w:pPr>
        <w:pStyle w:val="3"/>
        <w:keepNext w:val="0"/>
        <w:pageBreakBefore/>
        <w:rPr>
          <w:rFonts w:hint="eastAsia" w:ascii="宋体" w:hAnsi="宋体" w:eastAsia="宋体" w:cs="宋体"/>
          <w:color w:val="auto"/>
          <w:highlight w:val="none"/>
        </w:rPr>
      </w:pPr>
      <w:bookmarkStart w:id="312" w:name="_Toc10056"/>
      <w:r>
        <w:rPr>
          <w:rFonts w:hint="eastAsia" w:ascii="宋体" w:hAnsi="宋体" w:eastAsia="宋体" w:cs="宋体"/>
          <w:color w:val="auto"/>
          <w:highlight w:val="none"/>
        </w:rPr>
        <w:t>附件</w:t>
      </w:r>
      <w:r>
        <w:rPr>
          <w:rFonts w:hint="eastAsia" w:ascii="宋体" w:hAnsi="宋体" w:eastAsia="宋体" w:cs="宋体"/>
          <w:color w:val="auto"/>
          <w:highlight w:val="none"/>
          <w:lang w:val="en-US" w:eastAsia="zh-CN"/>
        </w:rPr>
        <w:t>9</w:t>
      </w:r>
      <w:r>
        <w:rPr>
          <w:rFonts w:hint="eastAsia" w:ascii="宋体" w:hAnsi="宋体" w:eastAsia="宋体" w:cs="宋体"/>
          <w:color w:val="auto"/>
          <w:highlight w:val="none"/>
        </w:rPr>
        <w:t xml:space="preserve"> 服务要求响应及偏离表</w:t>
      </w:r>
      <w:bookmarkEnd w:id="312"/>
    </w:p>
    <w:tbl>
      <w:tblPr>
        <w:tblStyle w:val="54"/>
        <w:tblW w:w="993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6"/>
        <w:gridCol w:w="1606"/>
        <w:gridCol w:w="1623"/>
        <w:gridCol w:w="1923"/>
        <w:gridCol w:w="845"/>
        <w:gridCol w:w="805"/>
        <w:gridCol w:w="2670"/>
      </w:tblGrid>
      <w:tr w14:paraId="7179C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466" w:type="dxa"/>
            <w:vMerge w:val="restart"/>
            <w:vAlign w:val="center"/>
          </w:tcPr>
          <w:p w14:paraId="7BF9F2F3">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1606" w:type="dxa"/>
            <w:vMerge w:val="restart"/>
            <w:vAlign w:val="center"/>
          </w:tcPr>
          <w:p w14:paraId="36B09C2F">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招标文件服务要求</w:t>
            </w:r>
          </w:p>
        </w:tc>
        <w:tc>
          <w:tcPr>
            <w:tcW w:w="1623" w:type="dxa"/>
            <w:vMerge w:val="restart"/>
            <w:vAlign w:val="center"/>
          </w:tcPr>
          <w:p w14:paraId="2B90D057">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招标文件提供服务承诺</w:t>
            </w:r>
          </w:p>
        </w:tc>
        <w:tc>
          <w:tcPr>
            <w:tcW w:w="1923" w:type="dxa"/>
            <w:vMerge w:val="restart"/>
            <w:vAlign w:val="center"/>
          </w:tcPr>
          <w:p w14:paraId="2640DEF9">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有无偏离</w:t>
            </w:r>
          </w:p>
        </w:tc>
        <w:tc>
          <w:tcPr>
            <w:tcW w:w="1650" w:type="dxa"/>
            <w:gridSpan w:val="2"/>
            <w:vAlign w:val="center"/>
          </w:tcPr>
          <w:p w14:paraId="16E9D3F9">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有偏离</w:t>
            </w:r>
          </w:p>
        </w:tc>
        <w:tc>
          <w:tcPr>
            <w:tcW w:w="2670" w:type="dxa"/>
            <w:vAlign w:val="center"/>
          </w:tcPr>
          <w:p w14:paraId="7399D74D">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偏离内容</w:t>
            </w:r>
          </w:p>
        </w:tc>
      </w:tr>
      <w:tr w14:paraId="261EC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466" w:type="dxa"/>
            <w:vMerge w:val="continue"/>
            <w:vAlign w:val="center"/>
          </w:tcPr>
          <w:p w14:paraId="4255B3B0">
            <w:pPr>
              <w:jc w:val="center"/>
              <w:rPr>
                <w:rFonts w:hint="eastAsia" w:ascii="宋体" w:hAnsi="宋体" w:eastAsia="宋体" w:cs="宋体"/>
                <w:b/>
                <w:color w:val="auto"/>
                <w:sz w:val="24"/>
                <w:szCs w:val="24"/>
                <w:highlight w:val="none"/>
              </w:rPr>
            </w:pPr>
          </w:p>
        </w:tc>
        <w:tc>
          <w:tcPr>
            <w:tcW w:w="1606" w:type="dxa"/>
            <w:vMerge w:val="continue"/>
            <w:vAlign w:val="center"/>
          </w:tcPr>
          <w:p w14:paraId="59C857E2">
            <w:pPr>
              <w:jc w:val="center"/>
              <w:rPr>
                <w:rFonts w:hint="eastAsia" w:ascii="宋体" w:hAnsi="宋体" w:eastAsia="宋体" w:cs="宋体"/>
                <w:b/>
                <w:color w:val="auto"/>
                <w:sz w:val="24"/>
                <w:szCs w:val="24"/>
                <w:highlight w:val="none"/>
              </w:rPr>
            </w:pPr>
          </w:p>
        </w:tc>
        <w:tc>
          <w:tcPr>
            <w:tcW w:w="1623" w:type="dxa"/>
            <w:vMerge w:val="continue"/>
            <w:vAlign w:val="center"/>
          </w:tcPr>
          <w:p w14:paraId="25376A69">
            <w:pPr>
              <w:jc w:val="center"/>
              <w:rPr>
                <w:rFonts w:hint="eastAsia" w:ascii="宋体" w:hAnsi="宋体" w:eastAsia="宋体" w:cs="宋体"/>
                <w:b/>
                <w:color w:val="auto"/>
                <w:sz w:val="24"/>
                <w:szCs w:val="24"/>
                <w:highlight w:val="none"/>
              </w:rPr>
            </w:pPr>
          </w:p>
        </w:tc>
        <w:tc>
          <w:tcPr>
            <w:tcW w:w="1923" w:type="dxa"/>
            <w:vMerge w:val="continue"/>
            <w:vAlign w:val="center"/>
          </w:tcPr>
          <w:p w14:paraId="42DD1E33">
            <w:pPr>
              <w:jc w:val="center"/>
              <w:rPr>
                <w:rFonts w:hint="eastAsia" w:ascii="宋体" w:hAnsi="宋体" w:eastAsia="宋体" w:cs="宋体"/>
                <w:b/>
                <w:color w:val="auto"/>
                <w:sz w:val="24"/>
                <w:szCs w:val="24"/>
                <w:highlight w:val="none"/>
              </w:rPr>
            </w:pPr>
          </w:p>
        </w:tc>
        <w:tc>
          <w:tcPr>
            <w:tcW w:w="845" w:type="dxa"/>
            <w:vAlign w:val="center"/>
          </w:tcPr>
          <w:p w14:paraId="36A3B2A6">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正</w:t>
            </w:r>
          </w:p>
        </w:tc>
        <w:tc>
          <w:tcPr>
            <w:tcW w:w="805" w:type="dxa"/>
            <w:vAlign w:val="center"/>
          </w:tcPr>
          <w:p w14:paraId="6669F44F">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负</w:t>
            </w:r>
          </w:p>
        </w:tc>
        <w:tc>
          <w:tcPr>
            <w:tcW w:w="2670" w:type="dxa"/>
            <w:vAlign w:val="center"/>
          </w:tcPr>
          <w:p w14:paraId="3A969B34">
            <w:pPr>
              <w:jc w:val="center"/>
              <w:rPr>
                <w:rFonts w:hint="eastAsia" w:ascii="宋体" w:hAnsi="宋体" w:eastAsia="宋体" w:cs="宋体"/>
                <w:b/>
                <w:color w:val="auto"/>
                <w:sz w:val="24"/>
                <w:szCs w:val="24"/>
                <w:highlight w:val="none"/>
              </w:rPr>
            </w:pPr>
          </w:p>
        </w:tc>
      </w:tr>
      <w:tr w14:paraId="1178F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466" w:type="dxa"/>
            <w:vAlign w:val="center"/>
          </w:tcPr>
          <w:p w14:paraId="32B4024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606" w:type="dxa"/>
            <w:vAlign w:val="center"/>
          </w:tcPr>
          <w:p w14:paraId="53D8A101">
            <w:pPr>
              <w:jc w:val="center"/>
              <w:rPr>
                <w:rFonts w:hint="eastAsia" w:ascii="宋体" w:hAnsi="宋体" w:eastAsia="宋体" w:cs="宋体"/>
                <w:color w:val="auto"/>
                <w:sz w:val="24"/>
                <w:szCs w:val="24"/>
                <w:highlight w:val="none"/>
              </w:rPr>
            </w:pPr>
          </w:p>
        </w:tc>
        <w:tc>
          <w:tcPr>
            <w:tcW w:w="1623" w:type="dxa"/>
            <w:vAlign w:val="center"/>
          </w:tcPr>
          <w:p w14:paraId="22A811FD">
            <w:pPr>
              <w:jc w:val="center"/>
              <w:rPr>
                <w:rFonts w:hint="eastAsia" w:ascii="宋体" w:hAnsi="宋体" w:eastAsia="宋体" w:cs="宋体"/>
                <w:color w:val="auto"/>
                <w:highlight w:val="none"/>
              </w:rPr>
            </w:pPr>
          </w:p>
        </w:tc>
        <w:tc>
          <w:tcPr>
            <w:tcW w:w="1923" w:type="dxa"/>
            <w:vAlign w:val="center"/>
          </w:tcPr>
          <w:p w14:paraId="2E48237B">
            <w:pPr>
              <w:jc w:val="center"/>
              <w:rPr>
                <w:rFonts w:hint="eastAsia" w:ascii="宋体" w:hAnsi="宋体" w:eastAsia="宋体" w:cs="宋体"/>
                <w:color w:val="auto"/>
                <w:highlight w:val="none"/>
              </w:rPr>
            </w:pPr>
          </w:p>
        </w:tc>
        <w:tc>
          <w:tcPr>
            <w:tcW w:w="845" w:type="dxa"/>
            <w:vAlign w:val="center"/>
          </w:tcPr>
          <w:p w14:paraId="378E4E59">
            <w:pPr>
              <w:jc w:val="center"/>
              <w:rPr>
                <w:rFonts w:hint="eastAsia" w:ascii="宋体" w:hAnsi="宋体" w:eastAsia="宋体" w:cs="宋体"/>
                <w:color w:val="auto"/>
                <w:highlight w:val="none"/>
              </w:rPr>
            </w:pPr>
          </w:p>
        </w:tc>
        <w:tc>
          <w:tcPr>
            <w:tcW w:w="805" w:type="dxa"/>
            <w:vAlign w:val="center"/>
          </w:tcPr>
          <w:p w14:paraId="774189B7">
            <w:pPr>
              <w:jc w:val="center"/>
              <w:rPr>
                <w:rFonts w:hint="eastAsia" w:ascii="宋体" w:hAnsi="宋体" w:eastAsia="宋体" w:cs="宋体"/>
                <w:color w:val="auto"/>
                <w:highlight w:val="none"/>
              </w:rPr>
            </w:pPr>
          </w:p>
        </w:tc>
        <w:tc>
          <w:tcPr>
            <w:tcW w:w="2670" w:type="dxa"/>
            <w:vAlign w:val="center"/>
          </w:tcPr>
          <w:p w14:paraId="20AE9292">
            <w:pPr>
              <w:jc w:val="center"/>
              <w:rPr>
                <w:rFonts w:hint="eastAsia" w:ascii="宋体" w:hAnsi="宋体" w:eastAsia="宋体" w:cs="宋体"/>
                <w:color w:val="auto"/>
                <w:highlight w:val="none"/>
              </w:rPr>
            </w:pPr>
          </w:p>
        </w:tc>
      </w:tr>
      <w:tr w14:paraId="06E05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466" w:type="dxa"/>
            <w:vAlign w:val="center"/>
          </w:tcPr>
          <w:p w14:paraId="0E7DCEF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606" w:type="dxa"/>
            <w:vAlign w:val="center"/>
          </w:tcPr>
          <w:p w14:paraId="0EB8343F">
            <w:pPr>
              <w:jc w:val="center"/>
              <w:rPr>
                <w:rFonts w:hint="eastAsia" w:ascii="宋体" w:hAnsi="宋体" w:eastAsia="宋体" w:cs="宋体"/>
                <w:color w:val="auto"/>
                <w:highlight w:val="none"/>
              </w:rPr>
            </w:pPr>
          </w:p>
        </w:tc>
        <w:tc>
          <w:tcPr>
            <w:tcW w:w="1623" w:type="dxa"/>
            <w:vAlign w:val="center"/>
          </w:tcPr>
          <w:p w14:paraId="328EACA8">
            <w:pPr>
              <w:jc w:val="center"/>
              <w:rPr>
                <w:rFonts w:hint="eastAsia" w:ascii="宋体" w:hAnsi="宋体" w:eastAsia="宋体" w:cs="宋体"/>
                <w:color w:val="auto"/>
                <w:highlight w:val="none"/>
              </w:rPr>
            </w:pPr>
          </w:p>
        </w:tc>
        <w:tc>
          <w:tcPr>
            <w:tcW w:w="1923" w:type="dxa"/>
            <w:vAlign w:val="center"/>
          </w:tcPr>
          <w:p w14:paraId="6ACB39A6">
            <w:pPr>
              <w:jc w:val="center"/>
              <w:rPr>
                <w:rFonts w:hint="eastAsia" w:ascii="宋体" w:hAnsi="宋体" w:eastAsia="宋体" w:cs="宋体"/>
                <w:color w:val="auto"/>
                <w:highlight w:val="none"/>
              </w:rPr>
            </w:pPr>
          </w:p>
        </w:tc>
        <w:tc>
          <w:tcPr>
            <w:tcW w:w="845" w:type="dxa"/>
            <w:vAlign w:val="center"/>
          </w:tcPr>
          <w:p w14:paraId="25671FCE">
            <w:pPr>
              <w:jc w:val="center"/>
              <w:rPr>
                <w:rFonts w:hint="eastAsia" w:ascii="宋体" w:hAnsi="宋体" w:eastAsia="宋体" w:cs="宋体"/>
                <w:color w:val="auto"/>
                <w:highlight w:val="none"/>
              </w:rPr>
            </w:pPr>
          </w:p>
        </w:tc>
        <w:tc>
          <w:tcPr>
            <w:tcW w:w="805" w:type="dxa"/>
            <w:vAlign w:val="center"/>
          </w:tcPr>
          <w:p w14:paraId="3278D3CA">
            <w:pPr>
              <w:jc w:val="center"/>
              <w:rPr>
                <w:rFonts w:hint="eastAsia" w:ascii="宋体" w:hAnsi="宋体" w:eastAsia="宋体" w:cs="宋体"/>
                <w:color w:val="auto"/>
                <w:highlight w:val="none"/>
              </w:rPr>
            </w:pPr>
          </w:p>
        </w:tc>
        <w:tc>
          <w:tcPr>
            <w:tcW w:w="2670" w:type="dxa"/>
            <w:vAlign w:val="center"/>
          </w:tcPr>
          <w:p w14:paraId="48DDA9E0">
            <w:pPr>
              <w:jc w:val="center"/>
              <w:rPr>
                <w:rFonts w:hint="eastAsia" w:ascii="宋体" w:hAnsi="宋体" w:eastAsia="宋体" w:cs="宋体"/>
                <w:color w:val="auto"/>
                <w:highlight w:val="none"/>
              </w:rPr>
            </w:pPr>
          </w:p>
        </w:tc>
      </w:tr>
      <w:tr w14:paraId="235B6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66" w:type="dxa"/>
            <w:vAlign w:val="center"/>
          </w:tcPr>
          <w:p w14:paraId="66476A07">
            <w:pPr>
              <w:jc w:val="center"/>
              <w:rPr>
                <w:rFonts w:hint="eastAsia" w:ascii="宋体" w:hAnsi="宋体" w:eastAsia="宋体" w:cs="宋体"/>
                <w:color w:val="auto"/>
                <w:sz w:val="24"/>
                <w:szCs w:val="24"/>
                <w:highlight w:val="none"/>
              </w:rPr>
            </w:pPr>
            <w:r>
              <w:rPr>
                <w:rFonts w:hint="eastAsia" w:ascii="宋体" w:hAnsi="宋体" w:eastAsia="宋体" w:cs="宋体"/>
                <w:color w:val="auto"/>
                <w:highlight w:val="none"/>
              </w:rPr>
              <w:t>……</w:t>
            </w:r>
          </w:p>
        </w:tc>
        <w:tc>
          <w:tcPr>
            <w:tcW w:w="1606" w:type="dxa"/>
            <w:vAlign w:val="center"/>
          </w:tcPr>
          <w:p w14:paraId="42D35E03">
            <w:pPr>
              <w:jc w:val="center"/>
              <w:rPr>
                <w:rFonts w:hint="eastAsia" w:ascii="宋体" w:hAnsi="宋体" w:eastAsia="宋体" w:cs="宋体"/>
                <w:color w:val="auto"/>
                <w:highlight w:val="none"/>
              </w:rPr>
            </w:pPr>
          </w:p>
        </w:tc>
        <w:tc>
          <w:tcPr>
            <w:tcW w:w="1623" w:type="dxa"/>
            <w:vAlign w:val="center"/>
          </w:tcPr>
          <w:p w14:paraId="3B916709">
            <w:pPr>
              <w:jc w:val="center"/>
              <w:rPr>
                <w:rFonts w:hint="eastAsia" w:ascii="宋体" w:hAnsi="宋体" w:eastAsia="宋体" w:cs="宋体"/>
                <w:color w:val="auto"/>
                <w:highlight w:val="none"/>
              </w:rPr>
            </w:pPr>
          </w:p>
        </w:tc>
        <w:tc>
          <w:tcPr>
            <w:tcW w:w="1923" w:type="dxa"/>
            <w:vAlign w:val="center"/>
          </w:tcPr>
          <w:p w14:paraId="7A5A8716">
            <w:pPr>
              <w:jc w:val="center"/>
              <w:rPr>
                <w:rFonts w:hint="eastAsia" w:ascii="宋体" w:hAnsi="宋体" w:eastAsia="宋体" w:cs="宋体"/>
                <w:color w:val="auto"/>
                <w:highlight w:val="none"/>
              </w:rPr>
            </w:pPr>
          </w:p>
        </w:tc>
        <w:tc>
          <w:tcPr>
            <w:tcW w:w="845" w:type="dxa"/>
            <w:vAlign w:val="center"/>
          </w:tcPr>
          <w:p w14:paraId="741BFC77">
            <w:pPr>
              <w:jc w:val="center"/>
              <w:rPr>
                <w:rFonts w:hint="eastAsia" w:ascii="宋体" w:hAnsi="宋体" w:eastAsia="宋体" w:cs="宋体"/>
                <w:color w:val="auto"/>
                <w:highlight w:val="none"/>
              </w:rPr>
            </w:pPr>
          </w:p>
        </w:tc>
        <w:tc>
          <w:tcPr>
            <w:tcW w:w="805" w:type="dxa"/>
            <w:vAlign w:val="center"/>
          </w:tcPr>
          <w:p w14:paraId="26FA628E">
            <w:pPr>
              <w:jc w:val="center"/>
              <w:rPr>
                <w:rFonts w:hint="eastAsia" w:ascii="宋体" w:hAnsi="宋体" w:eastAsia="宋体" w:cs="宋体"/>
                <w:color w:val="auto"/>
                <w:highlight w:val="none"/>
              </w:rPr>
            </w:pPr>
          </w:p>
        </w:tc>
        <w:tc>
          <w:tcPr>
            <w:tcW w:w="2670" w:type="dxa"/>
            <w:vAlign w:val="center"/>
          </w:tcPr>
          <w:p w14:paraId="76C84122">
            <w:pPr>
              <w:jc w:val="center"/>
              <w:rPr>
                <w:rFonts w:hint="eastAsia" w:ascii="宋体" w:hAnsi="宋体" w:eastAsia="宋体" w:cs="宋体"/>
                <w:color w:val="auto"/>
                <w:highlight w:val="none"/>
              </w:rPr>
            </w:pPr>
          </w:p>
        </w:tc>
      </w:tr>
      <w:tr w14:paraId="05CB5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466" w:type="dxa"/>
            <w:vAlign w:val="center"/>
          </w:tcPr>
          <w:p w14:paraId="28388559">
            <w:pPr>
              <w:jc w:val="center"/>
              <w:rPr>
                <w:rFonts w:hint="eastAsia" w:ascii="宋体" w:hAnsi="宋体" w:eastAsia="宋体" w:cs="宋体"/>
                <w:color w:val="auto"/>
                <w:sz w:val="24"/>
                <w:szCs w:val="24"/>
                <w:highlight w:val="none"/>
              </w:rPr>
            </w:pPr>
          </w:p>
        </w:tc>
        <w:tc>
          <w:tcPr>
            <w:tcW w:w="1606" w:type="dxa"/>
            <w:vAlign w:val="center"/>
          </w:tcPr>
          <w:p w14:paraId="06F02E13">
            <w:pPr>
              <w:jc w:val="center"/>
              <w:rPr>
                <w:rFonts w:hint="eastAsia" w:ascii="宋体" w:hAnsi="宋体" w:eastAsia="宋体" w:cs="宋体"/>
                <w:color w:val="auto"/>
                <w:highlight w:val="none"/>
              </w:rPr>
            </w:pPr>
          </w:p>
        </w:tc>
        <w:tc>
          <w:tcPr>
            <w:tcW w:w="1623" w:type="dxa"/>
            <w:vAlign w:val="center"/>
          </w:tcPr>
          <w:p w14:paraId="56288BEE">
            <w:pPr>
              <w:jc w:val="center"/>
              <w:rPr>
                <w:rFonts w:hint="eastAsia" w:ascii="宋体" w:hAnsi="宋体" w:eastAsia="宋体" w:cs="宋体"/>
                <w:color w:val="auto"/>
                <w:highlight w:val="none"/>
              </w:rPr>
            </w:pPr>
          </w:p>
        </w:tc>
        <w:tc>
          <w:tcPr>
            <w:tcW w:w="1923" w:type="dxa"/>
            <w:vAlign w:val="center"/>
          </w:tcPr>
          <w:p w14:paraId="7F131128">
            <w:pPr>
              <w:jc w:val="center"/>
              <w:rPr>
                <w:rFonts w:hint="eastAsia" w:ascii="宋体" w:hAnsi="宋体" w:eastAsia="宋体" w:cs="宋体"/>
                <w:color w:val="auto"/>
                <w:highlight w:val="none"/>
              </w:rPr>
            </w:pPr>
          </w:p>
        </w:tc>
        <w:tc>
          <w:tcPr>
            <w:tcW w:w="845" w:type="dxa"/>
            <w:vAlign w:val="center"/>
          </w:tcPr>
          <w:p w14:paraId="04A01CB9">
            <w:pPr>
              <w:jc w:val="center"/>
              <w:rPr>
                <w:rFonts w:hint="eastAsia" w:ascii="宋体" w:hAnsi="宋体" w:eastAsia="宋体" w:cs="宋体"/>
                <w:color w:val="auto"/>
                <w:highlight w:val="none"/>
              </w:rPr>
            </w:pPr>
          </w:p>
        </w:tc>
        <w:tc>
          <w:tcPr>
            <w:tcW w:w="805" w:type="dxa"/>
            <w:vAlign w:val="center"/>
          </w:tcPr>
          <w:p w14:paraId="539F7443">
            <w:pPr>
              <w:jc w:val="center"/>
              <w:rPr>
                <w:rFonts w:hint="eastAsia" w:ascii="宋体" w:hAnsi="宋体" w:eastAsia="宋体" w:cs="宋体"/>
                <w:color w:val="auto"/>
                <w:highlight w:val="none"/>
              </w:rPr>
            </w:pPr>
          </w:p>
        </w:tc>
        <w:tc>
          <w:tcPr>
            <w:tcW w:w="2670" w:type="dxa"/>
            <w:vAlign w:val="center"/>
          </w:tcPr>
          <w:p w14:paraId="35166B6C">
            <w:pPr>
              <w:jc w:val="center"/>
              <w:rPr>
                <w:rFonts w:hint="eastAsia" w:ascii="宋体" w:hAnsi="宋体" w:eastAsia="宋体" w:cs="宋体"/>
                <w:color w:val="auto"/>
                <w:highlight w:val="none"/>
              </w:rPr>
            </w:pPr>
          </w:p>
        </w:tc>
      </w:tr>
      <w:tr w14:paraId="19CDF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466" w:type="dxa"/>
            <w:vAlign w:val="center"/>
          </w:tcPr>
          <w:p w14:paraId="6172DC85">
            <w:pPr>
              <w:jc w:val="center"/>
              <w:rPr>
                <w:rFonts w:hint="eastAsia" w:ascii="宋体" w:hAnsi="宋体" w:eastAsia="宋体" w:cs="宋体"/>
                <w:color w:val="auto"/>
                <w:sz w:val="24"/>
                <w:szCs w:val="24"/>
                <w:highlight w:val="none"/>
              </w:rPr>
            </w:pPr>
          </w:p>
        </w:tc>
        <w:tc>
          <w:tcPr>
            <w:tcW w:w="1606" w:type="dxa"/>
            <w:vAlign w:val="center"/>
          </w:tcPr>
          <w:p w14:paraId="4D1BE9A9">
            <w:pPr>
              <w:jc w:val="center"/>
              <w:rPr>
                <w:rFonts w:hint="eastAsia" w:ascii="宋体" w:hAnsi="宋体" w:eastAsia="宋体" w:cs="宋体"/>
                <w:color w:val="auto"/>
                <w:highlight w:val="none"/>
              </w:rPr>
            </w:pPr>
          </w:p>
        </w:tc>
        <w:tc>
          <w:tcPr>
            <w:tcW w:w="1623" w:type="dxa"/>
            <w:vAlign w:val="center"/>
          </w:tcPr>
          <w:p w14:paraId="580C6E02">
            <w:pPr>
              <w:jc w:val="center"/>
              <w:rPr>
                <w:rFonts w:hint="eastAsia" w:ascii="宋体" w:hAnsi="宋体" w:eastAsia="宋体" w:cs="宋体"/>
                <w:color w:val="auto"/>
                <w:highlight w:val="none"/>
              </w:rPr>
            </w:pPr>
          </w:p>
        </w:tc>
        <w:tc>
          <w:tcPr>
            <w:tcW w:w="1923" w:type="dxa"/>
            <w:vAlign w:val="center"/>
          </w:tcPr>
          <w:p w14:paraId="2356A69B">
            <w:pPr>
              <w:jc w:val="center"/>
              <w:rPr>
                <w:rFonts w:hint="eastAsia" w:ascii="宋体" w:hAnsi="宋体" w:eastAsia="宋体" w:cs="宋体"/>
                <w:color w:val="auto"/>
                <w:highlight w:val="none"/>
              </w:rPr>
            </w:pPr>
          </w:p>
        </w:tc>
        <w:tc>
          <w:tcPr>
            <w:tcW w:w="845" w:type="dxa"/>
            <w:vAlign w:val="center"/>
          </w:tcPr>
          <w:p w14:paraId="251CB68F">
            <w:pPr>
              <w:jc w:val="center"/>
              <w:rPr>
                <w:rFonts w:hint="eastAsia" w:ascii="宋体" w:hAnsi="宋体" w:eastAsia="宋体" w:cs="宋体"/>
                <w:color w:val="auto"/>
                <w:highlight w:val="none"/>
              </w:rPr>
            </w:pPr>
          </w:p>
        </w:tc>
        <w:tc>
          <w:tcPr>
            <w:tcW w:w="805" w:type="dxa"/>
            <w:vAlign w:val="center"/>
          </w:tcPr>
          <w:p w14:paraId="2372ACF6">
            <w:pPr>
              <w:jc w:val="center"/>
              <w:rPr>
                <w:rFonts w:hint="eastAsia" w:ascii="宋体" w:hAnsi="宋体" w:eastAsia="宋体" w:cs="宋体"/>
                <w:color w:val="auto"/>
                <w:highlight w:val="none"/>
              </w:rPr>
            </w:pPr>
          </w:p>
        </w:tc>
        <w:tc>
          <w:tcPr>
            <w:tcW w:w="2670" w:type="dxa"/>
            <w:vAlign w:val="center"/>
          </w:tcPr>
          <w:p w14:paraId="06FB0CF3">
            <w:pPr>
              <w:jc w:val="center"/>
              <w:rPr>
                <w:rFonts w:hint="eastAsia" w:ascii="宋体" w:hAnsi="宋体" w:eastAsia="宋体" w:cs="宋体"/>
                <w:color w:val="auto"/>
                <w:highlight w:val="none"/>
              </w:rPr>
            </w:pPr>
          </w:p>
        </w:tc>
      </w:tr>
      <w:tr w14:paraId="5F902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466" w:type="dxa"/>
            <w:vAlign w:val="center"/>
          </w:tcPr>
          <w:p w14:paraId="796D9FA3">
            <w:pPr>
              <w:jc w:val="center"/>
              <w:rPr>
                <w:rFonts w:hint="eastAsia" w:ascii="宋体" w:hAnsi="宋体" w:eastAsia="宋体" w:cs="宋体"/>
                <w:color w:val="auto"/>
                <w:sz w:val="24"/>
                <w:szCs w:val="24"/>
                <w:highlight w:val="none"/>
              </w:rPr>
            </w:pPr>
          </w:p>
        </w:tc>
        <w:tc>
          <w:tcPr>
            <w:tcW w:w="1606" w:type="dxa"/>
            <w:vAlign w:val="center"/>
          </w:tcPr>
          <w:p w14:paraId="3D3CEBA3">
            <w:pPr>
              <w:jc w:val="center"/>
              <w:rPr>
                <w:rFonts w:hint="eastAsia" w:ascii="宋体" w:hAnsi="宋体" w:eastAsia="宋体" w:cs="宋体"/>
                <w:color w:val="auto"/>
                <w:highlight w:val="none"/>
              </w:rPr>
            </w:pPr>
          </w:p>
        </w:tc>
        <w:tc>
          <w:tcPr>
            <w:tcW w:w="1623" w:type="dxa"/>
            <w:vAlign w:val="center"/>
          </w:tcPr>
          <w:p w14:paraId="39BEC447">
            <w:pPr>
              <w:jc w:val="center"/>
              <w:rPr>
                <w:rFonts w:hint="eastAsia" w:ascii="宋体" w:hAnsi="宋体" w:eastAsia="宋体" w:cs="宋体"/>
                <w:color w:val="auto"/>
                <w:highlight w:val="none"/>
              </w:rPr>
            </w:pPr>
          </w:p>
        </w:tc>
        <w:tc>
          <w:tcPr>
            <w:tcW w:w="1923" w:type="dxa"/>
            <w:vAlign w:val="center"/>
          </w:tcPr>
          <w:p w14:paraId="78C16C54">
            <w:pPr>
              <w:jc w:val="center"/>
              <w:rPr>
                <w:rFonts w:hint="eastAsia" w:ascii="宋体" w:hAnsi="宋体" w:eastAsia="宋体" w:cs="宋体"/>
                <w:color w:val="auto"/>
                <w:highlight w:val="none"/>
              </w:rPr>
            </w:pPr>
          </w:p>
        </w:tc>
        <w:tc>
          <w:tcPr>
            <w:tcW w:w="845" w:type="dxa"/>
            <w:vAlign w:val="center"/>
          </w:tcPr>
          <w:p w14:paraId="0A783E45">
            <w:pPr>
              <w:jc w:val="center"/>
              <w:rPr>
                <w:rFonts w:hint="eastAsia" w:ascii="宋体" w:hAnsi="宋体" w:eastAsia="宋体" w:cs="宋体"/>
                <w:color w:val="auto"/>
                <w:highlight w:val="none"/>
              </w:rPr>
            </w:pPr>
          </w:p>
        </w:tc>
        <w:tc>
          <w:tcPr>
            <w:tcW w:w="805" w:type="dxa"/>
            <w:vAlign w:val="center"/>
          </w:tcPr>
          <w:p w14:paraId="22C01884">
            <w:pPr>
              <w:jc w:val="center"/>
              <w:rPr>
                <w:rFonts w:hint="eastAsia" w:ascii="宋体" w:hAnsi="宋体" w:eastAsia="宋体" w:cs="宋体"/>
                <w:color w:val="auto"/>
                <w:highlight w:val="none"/>
              </w:rPr>
            </w:pPr>
          </w:p>
        </w:tc>
        <w:tc>
          <w:tcPr>
            <w:tcW w:w="2670" w:type="dxa"/>
            <w:vAlign w:val="center"/>
          </w:tcPr>
          <w:p w14:paraId="5C49C2A0">
            <w:pPr>
              <w:jc w:val="center"/>
              <w:rPr>
                <w:rFonts w:hint="eastAsia" w:ascii="宋体" w:hAnsi="宋体" w:eastAsia="宋体" w:cs="宋体"/>
                <w:color w:val="auto"/>
                <w:highlight w:val="none"/>
              </w:rPr>
            </w:pPr>
          </w:p>
        </w:tc>
      </w:tr>
      <w:tr w14:paraId="4A7EB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466" w:type="dxa"/>
            <w:vAlign w:val="center"/>
          </w:tcPr>
          <w:p w14:paraId="35947902">
            <w:pPr>
              <w:jc w:val="center"/>
              <w:rPr>
                <w:rFonts w:hint="eastAsia" w:ascii="宋体" w:hAnsi="宋体" w:eastAsia="宋体" w:cs="宋体"/>
                <w:color w:val="auto"/>
                <w:sz w:val="24"/>
                <w:szCs w:val="24"/>
                <w:highlight w:val="none"/>
              </w:rPr>
            </w:pPr>
          </w:p>
        </w:tc>
        <w:tc>
          <w:tcPr>
            <w:tcW w:w="1606" w:type="dxa"/>
            <w:vAlign w:val="center"/>
          </w:tcPr>
          <w:p w14:paraId="0C3EED2B">
            <w:pPr>
              <w:jc w:val="center"/>
              <w:rPr>
                <w:rFonts w:hint="eastAsia" w:ascii="宋体" w:hAnsi="宋体" w:eastAsia="宋体" w:cs="宋体"/>
                <w:color w:val="auto"/>
                <w:highlight w:val="none"/>
              </w:rPr>
            </w:pPr>
          </w:p>
        </w:tc>
        <w:tc>
          <w:tcPr>
            <w:tcW w:w="1623" w:type="dxa"/>
            <w:vAlign w:val="center"/>
          </w:tcPr>
          <w:p w14:paraId="50EBF797">
            <w:pPr>
              <w:jc w:val="center"/>
              <w:rPr>
                <w:rFonts w:hint="eastAsia" w:ascii="宋体" w:hAnsi="宋体" w:eastAsia="宋体" w:cs="宋体"/>
                <w:color w:val="auto"/>
                <w:highlight w:val="none"/>
              </w:rPr>
            </w:pPr>
          </w:p>
        </w:tc>
        <w:tc>
          <w:tcPr>
            <w:tcW w:w="1923" w:type="dxa"/>
            <w:vAlign w:val="center"/>
          </w:tcPr>
          <w:p w14:paraId="3A64C884">
            <w:pPr>
              <w:jc w:val="center"/>
              <w:rPr>
                <w:rFonts w:hint="eastAsia" w:ascii="宋体" w:hAnsi="宋体" w:eastAsia="宋体" w:cs="宋体"/>
                <w:color w:val="auto"/>
                <w:highlight w:val="none"/>
              </w:rPr>
            </w:pPr>
          </w:p>
        </w:tc>
        <w:tc>
          <w:tcPr>
            <w:tcW w:w="845" w:type="dxa"/>
            <w:vAlign w:val="center"/>
          </w:tcPr>
          <w:p w14:paraId="21D46DE2">
            <w:pPr>
              <w:jc w:val="center"/>
              <w:rPr>
                <w:rFonts w:hint="eastAsia" w:ascii="宋体" w:hAnsi="宋体" w:eastAsia="宋体" w:cs="宋体"/>
                <w:color w:val="auto"/>
                <w:highlight w:val="none"/>
              </w:rPr>
            </w:pPr>
          </w:p>
        </w:tc>
        <w:tc>
          <w:tcPr>
            <w:tcW w:w="805" w:type="dxa"/>
            <w:vAlign w:val="center"/>
          </w:tcPr>
          <w:p w14:paraId="522E7BBB">
            <w:pPr>
              <w:jc w:val="center"/>
              <w:rPr>
                <w:rFonts w:hint="eastAsia" w:ascii="宋体" w:hAnsi="宋体" w:eastAsia="宋体" w:cs="宋体"/>
                <w:color w:val="auto"/>
                <w:highlight w:val="none"/>
              </w:rPr>
            </w:pPr>
          </w:p>
        </w:tc>
        <w:tc>
          <w:tcPr>
            <w:tcW w:w="2670" w:type="dxa"/>
            <w:vAlign w:val="center"/>
          </w:tcPr>
          <w:p w14:paraId="600D0FD9">
            <w:pPr>
              <w:jc w:val="center"/>
              <w:rPr>
                <w:rFonts w:hint="eastAsia" w:ascii="宋体" w:hAnsi="宋体" w:eastAsia="宋体" w:cs="宋体"/>
                <w:color w:val="auto"/>
                <w:highlight w:val="none"/>
              </w:rPr>
            </w:pPr>
          </w:p>
        </w:tc>
      </w:tr>
      <w:tr w14:paraId="35098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466" w:type="dxa"/>
            <w:vAlign w:val="center"/>
          </w:tcPr>
          <w:p w14:paraId="0AD8808B">
            <w:pPr>
              <w:jc w:val="center"/>
              <w:rPr>
                <w:rFonts w:hint="eastAsia" w:ascii="宋体" w:hAnsi="宋体" w:eastAsia="宋体" w:cs="宋体"/>
                <w:color w:val="auto"/>
                <w:sz w:val="24"/>
                <w:szCs w:val="24"/>
                <w:highlight w:val="none"/>
              </w:rPr>
            </w:pPr>
          </w:p>
        </w:tc>
        <w:tc>
          <w:tcPr>
            <w:tcW w:w="1606" w:type="dxa"/>
            <w:vAlign w:val="center"/>
          </w:tcPr>
          <w:p w14:paraId="0B897ED6">
            <w:pPr>
              <w:jc w:val="center"/>
              <w:rPr>
                <w:rFonts w:hint="eastAsia" w:ascii="宋体" w:hAnsi="宋体" w:eastAsia="宋体" w:cs="宋体"/>
                <w:color w:val="auto"/>
                <w:sz w:val="24"/>
                <w:szCs w:val="24"/>
                <w:highlight w:val="none"/>
              </w:rPr>
            </w:pPr>
          </w:p>
        </w:tc>
        <w:tc>
          <w:tcPr>
            <w:tcW w:w="1623" w:type="dxa"/>
            <w:vAlign w:val="center"/>
          </w:tcPr>
          <w:p w14:paraId="7C7A0B01">
            <w:pPr>
              <w:jc w:val="center"/>
              <w:rPr>
                <w:rFonts w:hint="eastAsia" w:ascii="宋体" w:hAnsi="宋体" w:eastAsia="宋体" w:cs="宋体"/>
                <w:color w:val="auto"/>
                <w:highlight w:val="none"/>
              </w:rPr>
            </w:pPr>
          </w:p>
        </w:tc>
        <w:tc>
          <w:tcPr>
            <w:tcW w:w="1923" w:type="dxa"/>
            <w:vAlign w:val="center"/>
          </w:tcPr>
          <w:p w14:paraId="3B164989">
            <w:pPr>
              <w:jc w:val="center"/>
              <w:rPr>
                <w:rFonts w:hint="eastAsia" w:ascii="宋体" w:hAnsi="宋体" w:eastAsia="宋体" w:cs="宋体"/>
                <w:color w:val="auto"/>
                <w:highlight w:val="none"/>
              </w:rPr>
            </w:pPr>
          </w:p>
        </w:tc>
        <w:tc>
          <w:tcPr>
            <w:tcW w:w="845" w:type="dxa"/>
            <w:vAlign w:val="center"/>
          </w:tcPr>
          <w:p w14:paraId="0A247C11">
            <w:pPr>
              <w:jc w:val="center"/>
              <w:rPr>
                <w:rFonts w:hint="eastAsia" w:ascii="宋体" w:hAnsi="宋体" w:eastAsia="宋体" w:cs="宋体"/>
                <w:color w:val="auto"/>
                <w:highlight w:val="none"/>
              </w:rPr>
            </w:pPr>
          </w:p>
        </w:tc>
        <w:tc>
          <w:tcPr>
            <w:tcW w:w="805" w:type="dxa"/>
            <w:vAlign w:val="center"/>
          </w:tcPr>
          <w:p w14:paraId="0BC9491F">
            <w:pPr>
              <w:jc w:val="center"/>
              <w:rPr>
                <w:rFonts w:hint="eastAsia" w:ascii="宋体" w:hAnsi="宋体" w:eastAsia="宋体" w:cs="宋体"/>
                <w:color w:val="auto"/>
                <w:highlight w:val="none"/>
              </w:rPr>
            </w:pPr>
          </w:p>
        </w:tc>
        <w:tc>
          <w:tcPr>
            <w:tcW w:w="2670" w:type="dxa"/>
            <w:vAlign w:val="center"/>
          </w:tcPr>
          <w:p w14:paraId="76676374">
            <w:pPr>
              <w:jc w:val="center"/>
              <w:rPr>
                <w:rFonts w:hint="eastAsia" w:ascii="宋体" w:hAnsi="宋体" w:eastAsia="宋体" w:cs="宋体"/>
                <w:color w:val="auto"/>
                <w:highlight w:val="none"/>
              </w:rPr>
            </w:pPr>
          </w:p>
        </w:tc>
      </w:tr>
    </w:tbl>
    <w:p w14:paraId="3F2E5EE8">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注：1、投标人应根据“第四章 采购需求”中的“</w:t>
      </w:r>
      <w:r>
        <w:rPr>
          <w:rFonts w:hint="eastAsia" w:ascii="宋体" w:hAnsi="宋体" w:eastAsia="宋体" w:cs="宋体"/>
          <w:bCs/>
          <w:color w:val="auto"/>
          <w:sz w:val="24"/>
          <w:szCs w:val="24"/>
          <w:highlight w:val="none"/>
          <w:lang w:val="en-US" w:eastAsia="zh-CN"/>
        </w:rPr>
        <w:t>三</w:t>
      </w:r>
      <w:r>
        <w:rPr>
          <w:rFonts w:hint="eastAsia" w:ascii="宋体" w:hAnsi="宋体" w:eastAsia="宋体" w:cs="宋体"/>
          <w:bCs/>
          <w:color w:val="auto"/>
          <w:sz w:val="24"/>
          <w:szCs w:val="24"/>
          <w:highlight w:val="none"/>
          <w:lang w:val="zh-CN"/>
        </w:rPr>
        <w:t>、</w:t>
      </w:r>
      <w:r>
        <w:rPr>
          <w:rFonts w:hint="eastAsia" w:ascii="宋体" w:hAnsi="宋体" w:eastAsia="宋体" w:cs="宋体"/>
          <w:bCs/>
          <w:color w:val="auto"/>
          <w:sz w:val="24"/>
          <w:szCs w:val="24"/>
          <w:highlight w:val="none"/>
          <w:lang w:val="en-US" w:eastAsia="zh-CN"/>
        </w:rPr>
        <w:t>项目服务</w:t>
      </w:r>
      <w:r>
        <w:rPr>
          <w:rFonts w:hint="eastAsia" w:ascii="宋体" w:hAnsi="宋体" w:eastAsia="宋体" w:cs="宋体"/>
          <w:bCs/>
          <w:color w:val="auto"/>
          <w:sz w:val="24"/>
          <w:szCs w:val="24"/>
          <w:highlight w:val="none"/>
          <w:lang w:val="zh-CN"/>
        </w:rPr>
        <w:t>要求</w:t>
      </w:r>
      <w:r>
        <w:rPr>
          <w:rFonts w:hint="eastAsia" w:ascii="宋体" w:hAnsi="宋体" w:eastAsia="宋体" w:cs="宋体"/>
          <w:bCs/>
          <w:color w:val="auto"/>
          <w:sz w:val="24"/>
          <w:szCs w:val="24"/>
          <w:highlight w:val="none"/>
        </w:rPr>
        <w:t>”，对照投标人所提供的服务承诺进行逐项评议。</w:t>
      </w:r>
    </w:p>
    <w:p w14:paraId="07B9F974">
      <w:pPr>
        <w:spacing w:line="500" w:lineRule="exact"/>
        <w:ind w:firstLine="480" w:firstLineChars="20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2、若无偏离，在“</w:t>
      </w:r>
      <w:r>
        <w:rPr>
          <w:rFonts w:hint="eastAsia" w:ascii="宋体" w:hAnsi="宋体" w:cs="宋体"/>
          <w:color w:val="auto"/>
          <w:sz w:val="24"/>
          <w:szCs w:val="24"/>
          <w:highlight w:val="none"/>
          <w:lang w:val="en-US" w:eastAsia="zh-CN"/>
        </w:rPr>
        <w:t>有</w:t>
      </w:r>
      <w:r>
        <w:rPr>
          <w:rFonts w:hint="eastAsia" w:ascii="宋体" w:hAnsi="宋体" w:eastAsia="宋体" w:cs="宋体"/>
          <w:color w:val="auto"/>
          <w:sz w:val="24"/>
          <w:szCs w:val="24"/>
          <w:highlight w:val="none"/>
        </w:rPr>
        <w:t>无偏离”栏中填写“无偏离”；若有偏离在“有偏离”栏中填写“正偏离”或“负偏离”，并在“偏离内容”栏中作出说明。</w:t>
      </w:r>
    </w:p>
    <w:p w14:paraId="23FA28E9">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3、表格不够可另接。</w:t>
      </w:r>
    </w:p>
    <w:p w14:paraId="3F2F7C79">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4A084F0A">
      <w:pPr>
        <w:pStyle w:val="3"/>
        <w:rPr>
          <w:rFonts w:hint="eastAsia" w:ascii="宋体" w:hAnsi="宋体" w:eastAsia="宋体" w:cs="宋体"/>
          <w:color w:val="auto"/>
          <w:highlight w:val="none"/>
        </w:rPr>
      </w:pPr>
      <w:bookmarkStart w:id="313" w:name="_Toc30456"/>
      <w:r>
        <w:rPr>
          <w:rFonts w:hint="eastAsia" w:ascii="宋体" w:hAnsi="宋体" w:eastAsia="宋体" w:cs="宋体"/>
          <w:color w:val="auto"/>
          <w:highlight w:val="none"/>
        </w:rPr>
        <w:t>附件</w:t>
      </w:r>
      <w:r>
        <w:rPr>
          <w:rFonts w:hint="eastAsia" w:ascii="宋体" w:hAnsi="宋体" w:eastAsia="宋体" w:cs="宋体"/>
          <w:color w:val="auto"/>
          <w:highlight w:val="none"/>
          <w:lang w:val="en-US" w:eastAsia="zh-CN"/>
        </w:rPr>
        <w:t>10</w:t>
      </w:r>
      <w:r>
        <w:rPr>
          <w:rFonts w:hint="eastAsia" w:ascii="宋体" w:hAnsi="宋体" w:eastAsia="宋体" w:cs="宋体"/>
          <w:color w:val="auto"/>
          <w:highlight w:val="none"/>
        </w:rPr>
        <w:t xml:space="preserve"> 项目实施方案</w:t>
      </w:r>
      <w:bookmarkEnd w:id="313"/>
    </w:p>
    <w:p w14:paraId="406686EF">
      <w:pPr>
        <w:ind w:firstLine="480" w:firstLineChars="20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根据“第五章  评审方法与评审标准”提供相关说明及证明材料</w:t>
      </w:r>
      <w:bookmarkEnd w:id="291"/>
      <w:bookmarkStart w:id="314" w:name="_Toc42157463"/>
    </w:p>
    <w:bookmarkEnd w:id="314"/>
    <w:p w14:paraId="3C6ACCDE">
      <w:pPr>
        <w:rPr>
          <w:rFonts w:hint="eastAsia" w:ascii="宋体" w:hAnsi="宋体" w:eastAsia="宋体" w:cs="宋体"/>
          <w:color w:val="auto"/>
          <w:highlight w:val="none"/>
        </w:rPr>
      </w:pPr>
      <w:bookmarkStart w:id="315" w:name="_Toc631"/>
      <w:bookmarkStart w:id="316" w:name="_Toc511680884"/>
      <w:bookmarkStart w:id="317" w:name="_Toc69302318"/>
      <w:bookmarkStart w:id="318" w:name="_Toc321922918"/>
      <w:bookmarkStart w:id="319" w:name="_Toc472326802"/>
      <w:r>
        <w:rPr>
          <w:rFonts w:hint="eastAsia" w:ascii="宋体" w:hAnsi="宋体" w:eastAsia="宋体" w:cs="宋体"/>
          <w:color w:val="auto"/>
          <w:highlight w:val="none"/>
        </w:rPr>
        <w:br w:type="page"/>
      </w:r>
    </w:p>
    <w:p w14:paraId="422D217E">
      <w:pPr>
        <w:pStyle w:val="3"/>
        <w:rPr>
          <w:rFonts w:hint="eastAsia" w:ascii="宋体" w:hAnsi="宋体" w:eastAsia="宋体" w:cs="宋体"/>
          <w:color w:val="auto"/>
          <w:highlight w:val="none"/>
        </w:rPr>
      </w:pPr>
      <w:bookmarkStart w:id="320" w:name="_Toc3775"/>
      <w:r>
        <w:rPr>
          <w:rFonts w:hint="eastAsia" w:ascii="宋体" w:hAnsi="宋体" w:eastAsia="宋体" w:cs="宋体"/>
          <w:color w:val="auto"/>
          <w:highlight w:val="none"/>
        </w:rPr>
        <w:t>附件1</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 xml:space="preserve"> 项目组人员一览表</w:t>
      </w:r>
      <w:bookmarkEnd w:id="320"/>
    </w:p>
    <w:bookmarkEnd w:id="315"/>
    <w:tbl>
      <w:tblPr>
        <w:tblStyle w:val="5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6"/>
        <w:gridCol w:w="1926"/>
        <w:gridCol w:w="845"/>
        <w:gridCol w:w="764"/>
        <w:gridCol w:w="764"/>
        <w:gridCol w:w="750"/>
        <w:gridCol w:w="886"/>
        <w:gridCol w:w="1766"/>
        <w:gridCol w:w="1087"/>
      </w:tblGrid>
      <w:tr w14:paraId="35BB4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76" w:type="dxa"/>
            <w:noWrap/>
            <w:vAlign w:val="center"/>
          </w:tcPr>
          <w:p w14:paraId="02A0929A">
            <w:pPr>
              <w:pStyle w:val="19"/>
              <w:overflowPunct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926" w:type="dxa"/>
            <w:noWrap/>
            <w:vAlign w:val="center"/>
          </w:tcPr>
          <w:p w14:paraId="730324D5">
            <w:pPr>
              <w:pStyle w:val="3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项目组所任职务</w:t>
            </w:r>
          </w:p>
        </w:tc>
        <w:tc>
          <w:tcPr>
            <w:tcW w:w="845" w:type="dxa"/>
            <w:noWrap/>
            <w:vAlign w:val="center"/>
          </w:tcPr>
          <w:p w14:paraId="50F2CDBF">
            <w:pPr>
              <w:pStyle w:val="3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w:t>
            </w:r>
          </w:p>
        </w:tc>
        <w:tc>
          <w:tcPr>
            <w:tcW w:w="764" w:type="dxa"/>
            <w:noWrap/>
            <w:vAlign w:val="center"/>
          </w:tcPr>
          <w:p w14:paraId="1CB58624">
            <w:pPr>
              <w:pStyle w:val="3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年龄</w:t>
            </w:r>
          </w:p>
        </w:tc>
        <w:tc>
          <w:tcPr>
            <w:tcW w:w="764" w:type="dxa"/>
            <w:noWrap/>
            <w:vAlign w:val="center"/>
          </w:tcPr>
          <w:p w14:paraId="7EB48F03">
            <w:pPr>
              <w:pStyle w:val="3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职称</w:t>
            </w:r>
          </w:p>
        </w:tc>
        <w:tc>
          <w:tcPr>
            <w:tcW w:w="750" w:type="dxa"/>
            <w:noWrap/>
            <w:vAlign w:val="center"/>
          </w:tcPr>
          <w:p w14:paraId="1200BB4B">
            <w:pPr>
              <w:pStyle w:val="3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专业</w:t>
            </w:r>
          </w:p>
        </w:tc>
        <w:tc>
          <w:tcPr>
            <w:tcW w:w="886" w:type="dxa"/>
            <w:noWrap/>
            <w:vAlign w:val="center"/>
          </w:tcPr>
          <w:p w14:paraId="7DAACD12">
            <w:pPr>
              <w:pStyle w:val="3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学历</w:t>
            </w:r>
          </w:p>
        </w:tc>
        <w:tc>
          <w:tcPr>
            <w:tcW w:w="1766" w:type="dxa"/>
            <w:noWrap/>
            <w:vAlign w:val="center"/>
          </w:tcPr>
          <w:p w14:paraId="765D7290">
            <w:pPr>
              <w:pStyle w:val="3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典型业务</w:t>
            </w:r>
          </w:p>
          <w:p w14:paraId="32653908">
            <w:pPr>
              <w:pStyle w:val="3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与技术专长</w:t>
            </w:r>
          </w:p>
        </w:tc>
        <w:tc>
          <w:tcPr>
            <w:tcW w:w="1087" w:type="dxa"/>
            <w:noWrap/>
            <w:vAlign w:val="center"/>
          </w:tcPr>
          <w:p w14:paraId="0D7A4072">
            <w:pPr>
              <w:pStyle w:val="19"/>
              <w:overflowPunct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  注</w:t>
            </w:r>
          </w:p>
        </w:tc>
      </w:tr>
      <w:tr w14:paraId="02927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76" w:type="dxa"/>
            <w:noWrap/>
            <w:vAlign w:val="center"/>
          </w:tcPr>
          <w:p w14:paraId="1DCA187F">
            <w:pPr>
              <w:pStyle w:val="19"/>
              <w:overflowPunct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926" w:type="dxa"/>
            <w:noWrap/>
            <w:vAlign w:val="center"/>
          </w:tcPr>
          <w:p w14:paraId="73408D1F">
            <w:pPr>
              <w:pStyle w:val="19"/>
              <w:overflowPunct w:val="0"/>
              <w:jc w:val="center"/>
              <w:rPr>
                <w:rFonts w:hint="eastAsia" w:ascii="宋体" w:hAnsi="宋体" w:eastAsia="宋体" w:cs="宋体"/>
                <w:color w:val="auto"/>
                <w:sz w:val="24"/>
                <w:szCs w:val="24"/>
                <w:highlight w:val="none"/>
              </w:rPr>
            </w:pPr>
          </w:p>
        </w:tc>
        <w:tc>
          <w:tcPr>
            <w:tcW w:w="845" w:type="dxa"/>
            <w:noWrap/>
            <w:vAlign w:val="center"/>
          </w:tcPr>
          <w:p w14:paraId="15AFF115">
            <w:pPr>
              <w:pStyle w:val="19"/>
              <w:overflowPunct w:val="0"/>
              <w:jc w:val="center"/>
              <w:rPr>
                <w:rFonts w:hint="eastAsia" w:ascii="宋体" w:hAnsi="宋体" w:eastAsia="宋体" w:cs="宋体"/>
                <w:color w:val="auto"/>
                <w:sz w:val="24"/>
                <w:szCs w:val="24"/>
                <w:highlight w:val="none"/>
              </w:rPr>
            </w:pPr>
          </w:p>
        </w:tc>
        <w:tc>
          <w:tcPr>
            <w:tcW w:w="764" w:type="dxa"/>
            <w:noWrap/>
            <w:vAlign w:val="center"/>
          </w:tcPr>
          <w:p w14:paraId="53953876">
            <w:pPr>
              <w:pStyle w:val="19"/>
              <w:overflowPunct w:val="0"/>
              <w:jc w:val="center"/>
              <w:rPr>
                <w:rFonts w:hint="eastAsia" w:ascii="宋体" w:hAnsi="宋体" w:eastAsia="宋体" w:cs="宋体"/>
                <w:color w:val="auto"/>
                <w:sz w:val="24"/>
                <w:szCs w:val="24"/>
                <w:highlight w:val="none"/>
              </w:rPr>
            </w:pPr>
          </w:p>
        </w:tc>
        <w:tc>
          <w:tcPr>
            <w:tcW w:w="764" w:type="dxa"/>
            <w:noWrap/>
            <w:vAlign w:val="center"/>
          </w:tcPr>
          <w:p w14:paraId="25A63AC1">
            <w:pPr>
              <w:pStyle w:val="19"/>
              <w:overflowPunct w:val="0"/>
              <w:jc w:val="center"/>
              <w:rPr>
                <w:rFonts w:hint="eastAsia" w:ascii="宋体" w:hAnsi="宋体" w:eastAsia="宋体" w:cs="宋体"/>
                <w:color w:val="auto"/>
                <w:sz w:val="24"/>
                <w:szCs w:val="24"/>
                <w:highlight w:val="none"/>
              </w:rPr>
            </w:pPr>
          </w:p>
        </w:tc>
        <w:tc>
          <w:tcPr>
            <w:tcW w:w="750" w:type="dxa"/>
            <w:noWrap/>
            <w:vAlign w:val="center"/>
          </w:tcPr>
          <w:p w14:paraId="08BB2A5E">
            <w:pPr>
              <w:pStyle w:val="19"/>
              <w:overflowPunct w:val="0"/>
              <w:jc w:val="center"/>
              <w:rPr>
                <w:rFonts w:hint="eastAsia" w:ascii="宋体" w:hAnsi="宋体" w:eastAsia="宋体" w:cs="宋体"/>
                <w:color w:val="auto"/>
                <w:sz w:val="24"/>
                <w:szCs w:val="24"/>
                <w:highlight w:val="none"/>
              </w:rPr>
            </w:pPr>
          </w:p>
        </w:tc>
        <w:tc>
          <w:tcPr>
            <w:tcW w:w="886" w:type="dxa"/>
            <w:noWrap/>
            <w:vAlign w:val="center"/>
          </w:tcPr>
          <w:p w14:paraId="0F71384C">
            <w:pPr>
              <w:pStyle w:val="19"/>
              <w:overflowPunct w:val="0"/>
              <w:jc w:val="center"/>
              <w:rPr>
                <w:rFonts w:hint="eastAsia" w:ascii="宋体" w:hAnsi="宋体" w:eastAsia="宋体" w:cs="宋体"/>
                <w:color w:val="auto"/>
                <w:sz w:val="24"/>
                <w:szCs w:val="24"/>
                <w:highlight w:val="none"/>
              </w:rPr>
            </w:pPr>
          </w:p>
        </w:tc>
        <w:tc>
          <w:tcPr>
            <w:tcW w:w="1766" w:type="dxa"/>
            <w:noWrap/>
            <w:vAlign w:val="center"/>
          </w:tcPr>
          <w:p w14:paraId="3EB9AA5E">
            <w:pPr>
              <w:pStyle w:val="19"/>
              <w:overflowPunct w:val="0"/>
              <w:jc w:val="center"/>
              <w:rPr>
                <w:rFonts w:hint="eastAsia" w:ascii="宋体" w:hAnsi="宋体" w:eastAsia="宋体" w:cs="宋体"/>
                <w:color w:val="auto"/>
                <w:sz w:val="24"/>
                <w:szCs w:val="24"/>
                <w:highlight w:val="none"/>
              </w:rPr>
            </w:pPr>
          </w:p>
        </w:tc>
        <w:tc>
          <w:tcPr>
            <w:tcW w:w="1087" w:type="dxa"/>
            <w:noWrap/>
            <w:vAlign w:val="center"/>
          </w:tcPr>
          <w:p w14:paraId="28CB226D">
            <w:pPr>
              <w:pStyle w:val="19"/>
              <w:overflowPunct w:val="0"/>
              <w:jc w:val="center"/>
              <w:rPr>
                <w:rFonts w:hint="eastAsia" w:ascii="宋体" w:hAnsi="宋体" w:eastAsia="宋体" w:cs="宋体"/>
                <w:color w:val="auto"/>
                <w:sz w:val="24"/>
                <w:szCs w:val="24"/>
                <w:highlight w:val="none"/>
              </w:rPr>
            </w:pPr>
          </w:p>
        </w:tc>
      </w:tr>
      <w:tr w14:paraId="21278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76" w:type="dxa"/>
            <w:noWrap/>
            <w:vAlign w:val="center"/>
          </w:tcPr>
          <w:p w14:paraId="72AACFCE">
            <w:pPr>
              <w:pStyle w:val="19"/>
              <w:overflowPunct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926" w:type="dxa"/>
            <w:noWrap/>
            <w:vAlign w:val="center"/>
          </w:tcPr>
          <w:p w14:paraId="6FC32554">
            <w:pPr>
              <w:pStyle w:val="19"/>
              <w:overflowPunct w:val="0"/>
              <w:jc w:val="center"/>
              <w:rPr>
                <w:rFonts w:hint="eastAsia" w:ascii="宋体" w:hAnsi="宋体" w:eastAsia="宋体" w:cs="宋体"/>
                <w:color w:val="auto"/>
                <w:sz w:val="24"/>
                <w:szCs w:val="24"/>
                <w:highlight w:val="none"/>
              </w:rPr>
            </w:pPr>
          </w:p>
        </w:tc>
        <w:tc>
          <w:tcPr>
            <w:tcW w:w="845" w:type="dxa"/>
            <w:noWrap/>
            <w:vAlign w:val="center"/>
          </w:tcPr>
          <w:p w14:paraId="2ED93DC7">
            <w:pPr>
              <w:pStyle w:val="19"/>
              <w:overflowPunct w:val="0"/>
              <w:jc w:val="center"/>
              <w:rPr>
                <w:rFonts w:hint="eastAsia" w:ascii="宋体" w:hAnsi="宋体" w:eastAsia="宋体" w:cs="宋体"/>
                <w:color w:val="auto"/>
                <w:sz w:val="24"/>
                <w:szCs w:val="24"/>
                <w:highlight w:val="none"/>
              </w:rPr>
            </w:pPr>
          </w:p>
        </w:tc>
        <w:tc>
          <w:tcPr>
            <w:tcW w:w="764" w:type="dxa"/>
            <w:noWrap/>
            <w:vAlign w:val="center"/>
          </w:tcPr>
          <w:p w14:paraId="1BB7DD7B">
            <w:pPr>
              <w:pStyle w:val="19"/>
              <w:overflowPunct w:val="0"/>
              <w:jc w:val="center"/>
              <w:rPr>
                <w:rFonts w:hint="eastAsia" w:ascii="宋体" w:hAnsi="宋体" w:eastAsia="宋体" w:cs="宋体"/>
                <w:color w:val="auto"/>
                <w:sz w:val="24"/>
                <w:szCs w:val="24"/>
                <w:highlight w:val="none"/>
              </w:rPr>
            </w:pPr>
          </w:p>
        </w:tc>
        <w:tc>
          <w:tcPr>
            <w:tcW w:w="764" w:type="dxa"/>
            <w:noWrap/>
            <w:vAlign w:val="center"/>
          </w:tcPr>
          <w:p w14:paraId="5C29CFE3">
            <w:pPr>
              <w:pStyle w:val="19"/>
              <w:overflowPunct w:val="0"/>
              <w:jc w:val="center"/>
              <w:rPr>
                <w:rFonts w:hint="eastAsia" w:ascii="宋体" w:hAnsi="宋体" w:eastAsia="宋体" w:cs="宋体"/>
                <w:color w:val="auto"/>
                <w:sz w:val="24"/>
                <w:szCs w:val="24"/>
                <w:highlight w:val="none"/>
              </w:rPr>
            </w:pPr>
          </w:p>
        </w:tc>
        <w:tc>
          <w:tcPr>
            <w:tcW w:w="750" w:type="dxa"/>
            <w:noWrap/>
            <w:vAlign w:val="center"/>
          </w:tcPr>
          <w:p w14:paraId="3C766E90">
            <w:pPr>
              <w:pStyle w:val="19"/>
              <w:overflowPunct w:val="0"/>
              <w:jc w:val="center"/>
              <w:rPr>
                <w:rFonts w:hint="eastAsia" w:ascii="宋体" w:hAnsi="宋体" w:eastAsia="宋体" w:cs="宋体"/>
                <w:color w:val="auto"/>
                <w:sz w:val="24"/>
                <w:szCs w:val="24"/>
                <w:highlight w:val="none"/>
              </w:rPr>
            </w:pPr>
          </w:p>
        </w:tc>
        <w:tc>
          <w:tcPr>
            <w:tcW w:w="886" w:type="dxa"/>
            <w:noWrap/>
            <w:vAlign w:val="center"/>
          </w:tcPr>
          <w:p w14:paraId="37ACE197">
            <w:pPr>
              <w:pStyle w:val="19"/>
              <w:overflowPunct w:val="0"/>
              <w:jc w:val="center"/>
              <w:rPr>
                <w:rFonts w:hint="eastAsia" w:ascii="宋体" w:hAnsi="宋体" w:eastAsia="宋体" w:cs="宋体"/>
                <w:color w:val="auto"/>
                <w:sz w:val="24"/>
                <w:szCs w:val="24"/>
                <w:highlight w:val="none"/>
              </w:rPr>
            </w:pPr>
          </w:p>
        </w:tc>
        <w:tc>
          <w:tcPr>
            <w:tcW w:w="1766" w:type="dxa"/>
            <w:noWrap/>
            <w:vAlign w:val="center"/>
          </w:tcPr>
          <w:p w14:paraId="5DDE8DB5">
            <w:pPr>
              <w:pStyle w:val="19"/>
              <w:overflowPunct w:val="0"/>
              <w:jc w:val="center"/>
              <w:rPr>
                <w:rFonts w:hint="eastAsia" w:ascii="宋体" w:hAnsi="宋体" w:eastAsia="宋体" w:cs="宋体"/>
                <w:color w:val="auto"/>
                <w:sz w:val="24"/>
                <w:szCs w:val="24"/>
                <w:highlight w:val="none"/>
              </w:rPr>
            </w:pPr>
          </w:p>
        </w:tc>
        <w:tc>
          <w:tcPr>
            <w:tcW w:w="1087" w:type="dxa"/>
            <w:noWrap/>
            <w:vAlign w:val="center"/>
          </w:tcPr>
          <w:p w14:paraId="69204DD5">
            <w:pPr>
              <w:pStyle w:val="19"/>
              <w:overflowPunct w:val="0"/>
              <w:jc w:val="center"/>
              <w:rPr>
                <w:rFonts w:hint="eastAsia" w:ascii="宋体" w:hAnsi="宋体" w:eastAsia="宋体" w:cs="宋体"/>
                <w:color w:val="auto"/>
                <w:sz w:val="24"/>
                <w:szCs w:val="24"/>
                <w:highlight w:val="none"/>
              </w:rPr>
            </w:pPr>
          </w:p>
        </w:tc>
      </w:tr>
      <w:tr w14:paraId="752A7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76" w:type="dxa"/>
            <w:noWrap/>
            <w:vAlign w:val="center"/>
          </w:tcPr>
          <w:p w14:paraId="439BBB81">
            <w:pPr>
              <w:pStyle w:val="19"/>
              <w:overflowPunct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926" w:type="dxa"/>
            <w:noWrap/>
            <w:vAlign w:val="center"/>
          </w:tcPr>
          <w:p w14:paraId="19259622">
            <w:pPr>
              <w:pStyle w:val="19"/>
              <w:overflowPunct w:val="0"/>
              <w:jc w:val="center"/>
              <w:rPr>
                <w:rFonts w:hint="eastAsia" w:ascii="宋体" w:hAnsi="宋体" w:eastAsia="宋体" w:cs="宋体"/>
                <w:color w:val="auto"/>
                <w:sz w:val="24"/>
                <w:szCs w:val="24"/>
                <w:highlight w:val="none"/>
              </w:rPr>
            </w:pPr>
          </w:p>
        </w:tc>
        <w:tc>
          <w:tcPr>
            <w:tcW w:w="845" w:type="dxa"/>
            <w:noWrap/>
            <w:vAlign w:val="center"/>
          </w:tcPr>
          <w:p w14:paraId="530C9159">
            <w:pPr>
              <w:pStyle w:val="19"/>
              <w:overflowPunct w:val="0"/>
              <w:jc w:val="center"/>
              <w:rPr>
                <w:rFonts w:hint="eastAsia" w:ascii="宋体" w:hAnsi="宋体" w:eastAsia="宋体" w:cs="宋体"/>
                <w:color w:val="auto"/>
                <w:sz w:val="24"/>
                <w:szCs w:val="24"/>
                <w:highlight w:val="none"/>
              </w:rPr>
            </w:pPr>
          </w:p>
        </w:tc>
        <w:tc>
          <w:tcPr>
            <w:tcW w:w="764" w:type="dxa"/>
            <w:noWrap/>
            <w:vAlign w:val="center"/>
          </w:tcPr>
          <w:p w14:paraId="2AB40696">
            <w:pPr>
              <w:pStyle w:val="19"/>
              <w:overflowPunct w:val="0"/>
              <w:jc w:val="center"/>
              <w:rPr>
                <w:rFonts w:hint="eastAsia" w:ascii="宋体" w:hAnsi="宋体" w:eastAsia="宋体" w:cs="宋体"/>
                <w:color w:val="auto"/>
                <w:sz w:val="24"/>
                <w:szCs w:val="24"/>
                <w:highlight w:val="none"/>
              </w:rPr>
            </w:pPr>
          </w:p>
        </w:tc>
        <w:tc>
          <w:tcPr>
            <w:tcW w:w="764" w:type="dxa"/>
            <w:noWrap/>
            <w:vAlign w:val="center"/>
          </w:tcPr>
          <w:p w14:paraId="14CFCB4D">
            <w:pPr>
              <w:pStyle w:val="19"/>
              <w:overflowPunct w:val="0"/>
              <w:jc w:val="center"/>
              <w:rPr>
                <w:rFonts w:hint="eastAsia" w:ascii="宋体" w:hAnsi="宋体" w:eastAsia="宋体" w:cs="宋体"/>
                <w:color w:val="auto"/>
                <w:sz w:val="24"/>
                <w:szCs w:val="24"/>
                <w:highlight w:val="none"/>
              </w:rPr>
            </w:pPr>
          </w:p>
        </w:tc>
        <w:tc>
          <w:tcPr>
            <w:tcW w:w="750" w:type="dxa"/>
            <w:noWrap/>
            <w:vAlign w:val="center"/>
          </w:tcPr>
          <w:p w14:paraId="5EFB7950">
            <w:pPr>
              <w:pStyle w:val="19"/>
              <w:overflowPunct w:val="0"/>
              <w:jc w:val="center"/>
              <w:rPr>
                <w:rFonts w:hint="eastAsia" w:ascii="宋体" w:hAnsi="宋体" w:eastAsia="宋体" w:cs="宋体"/>
                <w:color w:val="auto"/>
                <w:sz w:val="24"/>
                <w:szCs w:val="24"/>
                <w:highlight w:val="none"/>
              </w:rPr>
            </w:pPr>
          </w:p>
        </w:tc>
        <w:tc>
          <w:tcPr>
            <w:tcW w:w="886" w:type="dxa"/>
            <w:noWrap/>
            <w:vAlign w:val="center"/>
          </w:tcPr>
          <w:p w14:paraId="74DB0782">
            <w:pPr>
              <w:pStyle w:val="19"/>
              <w:overflowPunct w:val="0"/>
              <w:jc w:val="center"/>
              <w:rPr>
                <w:rFonts w:hint="eastAsia" w:ascii="宋体" w:hAnsi="宋体" w:eastAsia="宋体" w:cs="宋体"/>
                <w:color w:val="auto"/>
                <w:sz w:val="24"/>
                <w:szCs w:val="24"/>
                <w:highlight w:val="none"/>
              </w:rPr>
            </w:pPr>
          </w:p>
        </w:tc>
        <w:tc>
          <w:tcPr>
            <w:tcW w:w="1766" w:type="dxa"/>
            <w:noWrap/>
            <w:vAlign w:val="center"/>
          </w:tcPr>
          <w:p w14:paraId="54E340FA">
            <w:pPr>
              <w:pStyle w:val="19"/>
              <w:overflowPunct w:val="0"/>
              <w:jc w:val="center"/>
              <w:rPr>
                <w:rFonts w:hint="eastAsia" w:ascii="宋体" w:hAnsi="宋体" w:eastAsia="宋体" w:cs="宋体"/>
                <w:color w:val="auto"/>
                <w:sz w:val="24"/>
                <w:szCs w:val="24"/>
                <w:highlight w:val="none"/>
              </w:rPr>
            </w:pPr>
          </w:p>
        </w:tc>
        <w:tc>
          <w:tcPr>
            <w:tcW w:w="1087" w:type="dxa"/>
            <w:noWrap/>
            <w:vAlign w:val="center"/>
          </w:tcPr>
          <w:p w14:paraId="22BC42FC">
            <w:pPr>
              <w:pStyle w:val="19"/>
              <w:overflowPunct w:val="0"/>
              <w:jc w:val="center"/>
              <w:rPr>
                <w:rFonts w:hint="eastAsia" w:ascii="宋体" w:hAnsi="宋体" w:eastAsia="宋体" w:cs="宋体"/>
                <w:color w:val="auto"/>
                <w:sz w:val="24"/>
                <w:szCs w:val="24"/>
                <w:highlight w:val="none"/>
              </w:rPr>
            </w:pPr>
          </w:p>
        </w:tc>
      </w:tr>
      <w:tr w14:paraId="3EA0C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76" w:type="dxa"/>
            <w:noWrap/>
            <w:vAlign w:val="center"/>
          </w:tcPr>
          <w:p w14:paraId="57273CB3">
            <w:pPr>
              <w:pStyle w:val="19"/>
              <w:overflowPunct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926" w:type="dxa"/>
            <w:noWrap/>
            <w:vAlign w:val="center"/>
          </w:tcPr>
          <w:p w14:paraId="365FE11F">
            <w:pPr>
              <w:pStyle w:val="19"/>
              <w:overflowPunct w:val="0"/>
              <w:jc w:val="center"/>
              <w:rPr>
                <w:rFonts w:hint="eastAsia" w:ascii="宋体" w:hAnsi="宋体" w:eastAsia="宋体" w:cs="宋体"/>
                <w:color w:val="auto"/>
                <w:sz w:val="24"/>
                <w:szCs w:val="24"/>
                <w:highlight w:val="none"/>
              </w:rPr>
            </w:pPr>
          </w:p>
        </w:tc>
        <w:tc>
          <w:tcPr>
            <w:tcW w:w="845" w:type="dxa"/>
            <w:noWrap/>
            <w:vAlign w:val="center"/>
          </w:tcPr>
          <w:p w14:paraId="59BD9BAE">
            <w:pPr>
              <w:pStyle w:val="19"/>
              <w:overflowPunct w:val="0"/>
              <w:jc w:val="center"/>
              <w:rPr>
                <w:rFonts w:hint="eastAsia" w:ascii="宋体" w:hAnsi="宋体" w:eastAsia="宋体" w:cs="宋体"/>
                <w:color w:val="auto"/>
                <w:sz w:val="24"/>
                <w:szCs w:val="24"/>
                <w:highlight w:val="none"/>
              </w:rPr>
            </w:pPr>
          </w:p>
        </w:tc>
        <w:tc>
          <w:tcPr>
            <w:tcW w:w="764" w:type="dxa"/>
            <w:noWrap/>
            <w:vAlign w:val="center"/>
          </w:tcPr>
          <w:p w14:paraId="16F9074A">
            <w:pPr>
              <w:pStyle w:val="19"/>
              <w:overflowPunct w:val="0"/>
              <w:jc w:val="center"/>
              <w:rPr>
                <w:rFonts w:hint="eastAsia" w:ascii="宋体" w:hAnsi="宋体" w:eastAsia="宋体" w:cs="宋体"/>
                <w:color w:val="auto"/>
                <w:sz w:val="24"/>
                <w:szCs w:val="24"/>
                <w:highlight w:val="none"/>
              </w:rPr>
            </w:pPr>
          </w:p>
        </w:tc>
        <w:tc>
          <w:tcPr>
            <w:tcW w:w="764" w:type="dxa"/>
            <w:noWrap/>
            <w:vAlign w:val="center"/>
          </w:tcPr>
          <w:p w14:paraId="42823F04">
            <w:pPr>
              <w:pStyle w:val="19"/>
              <w:overflowPunct w:val="0"/>
              <w:jc w:val="center"/>
              <w:rPr>
                <w:rFonts w:hint="eastAsia" w:ascii="宋体" w:hAnsi="宋体" w:eastAsia="宋体" w:cs="宋体"/>
                <w:color w:val="auto"/>
                <w:sz w:val="24"/>
                <w:szCs w:val="24"/>
                <w:highlight w:val="none"/>
              </w:rPr>
            </w:pPr>
          </w:p>
        </w:tc>
        <w:tc>
          <w:tcPr>
            <w:tcW w:w="750" w:type="dxa"/>
            <w:noWrap/>
            <w:vAlign w:val="center"/>
          </w:tcPr>
          <w:p w14:paraId="561F46F2">
            <w:pPr>
              <w:pStyle w:val="19"/>
              <w:overflowPunct w:val="0"/>
              <w:jc w:val="center"/>
              <w:rPr>
                <w:rFonts w:hint="eastAsia" w:ascii="宋体" w:hAnsi="宋体" w:eastAsia="宋体" w:cs="宋体"/>
                <w:color w:val="auto"/>
                <w:sz w:val="24"/>
                <w:szCs w:val="24"/>
                <w:highlight w:val="none"/>
              </w:rPr>
            </w:pPr>
          </w:p>
        </w:tc>
        <w:tc>
          <w:tcPr>
            <w:tcW w:w="886" w:type="dxa"/>
            <w:noWrap/>
            <w:vAlign w:val="center"/>
          </w:tcPr>
          <w:p w14:paraId="75FD1D9F">
            <w:pPr>
              <w:pStyle w:val="19"/>
              <w:overflowPunct w:val="0"/>
              <w:jc w:val="center"/>
              <w:rPr>
                <w:rFonts w:hint="eastAsia" w:ascii="宋体" w:hAnsi="宋体" w:eastAsia="宋体" w:cs="宋体"/>
                <w:color w:val="auto"/>
                <w:sz w:val="24"/>
                <w:szCs w:val="24"/>
                <w:highlight w:val="none"/>
              </w:rPr>
            </w:pPr>
          </w:p>
        </w:tc>
        <w:tc>
          <w:tcPr>
            <w:tcW w:w="1766" w:type="dxa"/>
            <w:noWrap/>
            <w:vAlign w:val="center"/>
          </w:tcPr>
          <w:p w14:paraId="24F9D5AB">
            <w:pPr>
              <w:pStyle w:val="19"/>
              <w:overflowPunct w:val="0"/>
              <w:jc w:val="center"/>
              <w:rPr>
                <w:rFonts w:hint="eastAsia" w:ascii="宋体" w:hAnsi="宋体" w:eastAsia="宋体" w:cs="宋体"/>
                <w:color w:val="auto"/>
                <w:sz w:val="24"/>
                <w:szCs w:val="24"/>
                <w:highlight w:val="none"/>
              </w:rPr>
            </w:pPr>
          </w:p>
        </w:tc>
        <w:tc>
          <w:tcPr>
            <w:tcW w:w="1087" w:type="dxa"/>
            <w:noWrap/>
            <w:vAlign w:val="center"/>
          </w:tcPr>
          <w:p w14:paraId="39AEB3D1">
            <w:pPr>
              <w:pStyle w:val="19"/>
              <w:overflowPunct w:val="0"/>
              <w:jc w:val="center"/>
              <w:rPr>
                <w:rFonts w:hint="eastAsia" w:ascii="宋体" w:hAnsi="宋体" w:eastAsia="宋体" w:cs="宋体"/>
                <w:color w:val="auto"/>
                <w:sz w:val="24"/>
                <w:szCs w:val="24"/>
                <w:highlight w:val="none"/>
              </w:rPr>
            </w:pPr>
          </w:p>
        </w:tc>
      </w:tr>
      <w:tr w14:paraId="2DF16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76" w:type="dxa"/>
            <w:noWrap/>
            <w:vAlign w:val="center"/>
          </w:tcPr>
          <w:p w14:paraId="02F28E53">
            <w:pPr>
              <w:pStyle w:val="19"/>
              <w:overflowPunct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1926" w:type="dxa"/>
            <w:tcBorders>
              <w:bottom w:val="single" w:color="auto" w:sz="4" w:space="0"/>
            </w:tcBorders>
            <w:noWrap/>
            <w:vAlign w:val="center"/>
          </w:tcPr>
          <w:p w14:paraId="1C64FEBF">
            <w:pPr>
              <w:pStyle w:val="19"/>
              <w:overflowPunct w:val="0"/>
              <w:jc w:val="center"/>
              <w:rPr>
                <w:rFonts w:hint="eastAsia" w:ascii="宋体" w:hAnsi="宋体" w:eastAsia="宋体" w:cs="宋体"/>
                <w:color w:val="auto"/>
                <w:sz w:val="24"/>
                <w:szCs w:val="24"/>
                <w:highlight w:val="none"/>
              </w:rPr>
            </w:pPr>
          </w:p>
        </w:tc>
        <w:tc>
          <w:tcPr>
            <w:tcW w:w="845" w:type="dxa"/>
            <w:tcBorders>
              <w:bottom w:val="single" w:color="auto" w:sz="4" w:space="0"/>
            </w:tcBorders>
            <w:noWrap/>
            <w:vAlign w:val="center"/>
          </w:tcPr>
          <w:p w14:paraId="41F0EC9C">
            <w:pPr>
              <w:pStyle w:val="19"/>
              <w:overflowPunct w:val="0"/>
              <w:jc w:val="center"/>
              <w:rPr>
                <w:rFonts w:hint="eastAsia" w:ascii="宋体" w:hAnsi="宋体" w:eastAsia="宋体" w:cs="宋体"/>
                <w:color w:val="auto"/>
                <w:sz w:val="24"/>
                <w:szCs w:val="24"/>
                <w:highlight w:val="none"/>
              </w:rPr>
            </w:pPr>
          </w:p>
        </w:tc>
        <w:tc>
          <w:tcPr>
            <w:tcW w:w="764" w:type="dxa"/>
            <w:tcBorders>
              <w:bottom w:val="single" w:color="auto" w:sz="4" w:space="0"/>
            </w:tcBorders>
            <w:noWrap/>
            <w:vAlign w:val="center"/>
          </w:tcPr>
          <w:p w14:paraId="0F445993">
            <w:pPr>
              <w:pStyle w:val="19"/>
              <w:overflowPunct w:val="0"/>
              <w:jc w:val="center"/>
              <w:rPr>
                <w:rFonts w:hint="eastAsia" w:ascii="宋体" w:hAnsi="宋体" w:eastAsia="宋体" w:cs="宋体"/>
                <w:color w:val="auto"/>
                <w:sz w:val="24"/>
                <w:szCs w:val="24"/>
                <w:highlight w:val="none"/>
              </w:rPr>
            </w:pPr>
          </w:p>
        </w:tc>
        <w:tc>
          <w:tcPr>
            <w:tcW w:w="764" w:type="dxa"/>
            <w:tcBorders>
              <w:bottom w:val="single" w:color="auto" w:sz="4" w:space="0"/>
            </w:tcBorders>
            <w:noWrap/>
            <w:vAlign w:val="center"/>
          </w:tcPr>
          <w:p w14:paraId="64DECB92">
            <w:pPr>
              <w:pStyle w:val="19"/>
              <w:overflowPunct w:val="0"/>
              <w:jc w:val="center"/>
              <w:rPr>
                <w:rFonts w:hint="eastAsia" w:ascii="宋体" w:hAnsi="宋体" w:eastAsia="宋体" w:cs="宋体"/>
                <w:color w:val="auto"/>
                <w:sz w:val="24"/>
                <w:szCs w:val="24"/>
                <w:highlight w:val="none"/>
              </w:rPr>
            </w:pPr>
          </w:p>
        </w:tc>
        <w:tc>
          <w:tcPr>
            <w:tcW w:w="750" w:type="dxa"/>
            <w:tcBorders>
              <w:bottom w:val="single" w:color="auto" w:sz="4" w:space="0"/>
            </w:tcBorders>
            <w:noWrap/>
            <w:vAlign w:val="center"/>
          </w:tcPr>
          <w:p w14:paraId="6E6B5859">
            <w:pPr>
              <w:pStyle w:val="19"/>
              <w:overflowPunct w:val="0"/>
              <w:jc w:val="center"/>
              <w:rPr>
                <w:rFonts w:hint="eastAsia" w:ascii="宋体" w:hAnsi="宋体" w:eastAsia="宋体" w:cs="宋体"/>
                <w:color w:val="auto"/>
                <w:sz w:val="24"/>
                <w:szCs w:val="24"/>
                <w:highlight w:val="none"/>
              </w:rPr>
            </w:pPr>
          </w:p>
        </w:tc>
        <w:tc>
          <w:tcPr>
            <w:tcW w:w="886" w:type="dxa"/>
            <w:tcBorders>
              <w:bottom w:val="single" w:color="auto" w:sz="4" w:space="0"/>
            </w:tcBorders>
            <w:noWrap/>
            <w:vAlign w:val="center"/>
          </w:tcPr>
          <w:p w14:paraId="7375E260">
            <w:pPr>
              <w:pStyle w:val="19"/>
              <w:overflowPunct w:val="0"/>
              <w:jc w:val="center"/>
              <w:rPr>
                <w:rFonts w:hint="eastAsia" w:ascii="宋体" w:hAnsi="宋体" w:eastAsia="宋体" w:cs="宋体"/>
                <w:color w:val="auto"/>
                <w:sz w:val="24"/>
                <w:szCs w:val="24"/>
                <w:highlight w:val="none"/>
              </w:rPr>
            </w:pPr>
          </w:p>
        </w:tc>
        <w:tc>
          <w:tcPr>
            <w:tcW w:w="1766" w:type="dxa"/>
            <w:tcBorders>
              <w:bottom w:val="single" w:color="auto" w:sz="4" w:space="0"/>
            </w:tcBorders>
            <w:noWrap/>
            <w:vAlign w:val="center"/>
          </w:tcPr>
          <w:p w14:paraId="3B2B469B">
            <w:pPr>
              <w:pStyle w:val="19"/>
              <w:overflowPunct w:val="0"/>
              <w:jc w:val="center"/>
              <w:rPr>
                <w:rFonts w:hint="eastAsia" w:ascii="宋体" w:hAnsi="宋体" w:eastAsia="宋体" w:cs="宋体"/>
                <w:color w:val="auto"/>
                <w:sz w:val="24"/>
                <w:szCs w:val="24"/>
                <w:highlight w:val="none"/>
              </w:rPr>
            </w:pPr>
          </w:p>
        </w:tc>
        <w:tc>
          <w:tcPr>
            <w:tcW w:w="1087" w:type="dxa"/>
            <w:tcBorders>
              <w:bottom w:val="single" w:color="auto" w:sz="4" w:space="0"/>
            </w:tcBorders>
            <w:noWrap/>
            <w:vAlign w:val="center"/>
          </w:tcPr>
          <w:p w14:paraId="1D038FFE">
            <w:pPr>
              <w:pStyle w:val="19"/>
              <w:overflowPunct w:val="0"/>
              <w:jc w:val="center"/>
              <w:rPr>
                <w:rFonts w:hint="eastAsia" w:ascii="宋体" w:hAnsi="宋体" w:eastAsia="宋体" w:cs="宋体"/>
                <w:color w:val="auto"/>
                <w:sz w:val="24"/>
                <w:szCs w:val="24"/>
                <w:highlight w:val="none"/>
              </w:rPr>
            </w:pPr>
          </w:p>
        </w:tc>
      </w:tr>
    </w:tbl>
    <w:p w14:paraId="0E1A978A">
      <w:pPr>
        <w:overflowPunct w:val="0"/>
        <w:spacing w:line="46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w:t>
      </w:r>
      <w:r>
        <w:rPr>
          <w:rFonts w:hint="eastAsia" w:ascii="宋体" w:hAnsi="宋体" w:eastAsia="宋体" w:cs="宋体"/>
          <w:bCs/>
          <w:color w:val="auto"/>
          <w:sz w:val="24"/>
          <w:szCs w:val="24"/>
          <w:highlight w:val="none"/>
        </w:rPr>
        <w:t>投标文件中须根据“第五章  评审方法与评审标准”提供相关说明及证明材料</w:t>
      </w:r>
    </w:p>
    <w:p w14:paraId="36168BE7">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br w:type="page"/>
      </w:r>
      <w:bookmarkEnd w:id="316"/>
      <w:bookmarkEnd w:id="317"/>
      <w:bookmarkEnd w:id="318"/>
      <w:bookmarkEnd w:id="319"/>
    </w:p>
    <w:p w14:paraId="2EF8409F">
      <w:pPr>
        <w:pStyle w:val="3"/>
        <w:rPr>
          <w:rFonts w:hint="eastAsia" w:ascii="宋体" w:hAnsi="宋体" w:eastAsia="宋体" w:cs="宋体"/>
          <w:color w:val="auto"/>
          <w:highlight w:val="none"/>
        </w:rPr>
      </w:pPr>
      <w:bookmarkStart w:id="321" w:name="_Toc28886"/>
      <w:bookmarkStart w:id="322" w:name="_Toc32268"/>
      <w:r>
        <w:rPr>
          <w:rFonts w:hint="eastAsia" w:ascii="宋体" w:hAnsi="宋体" w:eastAsia="宋体" w:cs="宋体"/>
          <w:color w:val="auto"/>
          <w:highlight w:val="none"/>
        </w:rPr>
        <w:t>附件1</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车辆</w:t>
      </w:r>
      <w:r>
        <w:rPr>
          <w:rFonts w:hint="eastAsia" w:ascii="宋体" w:hAnsi="宋体" w:eastAsia="宋体" w:cs="宋体"/>
          <w:color w:val="auto"/>
          <w:highlight w:val="none"/>
        </w:rPr>
        <w:t>设备配备一览表</w:t>
      </w:r>
      <w:bookmarkEnd w:id="321"/>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5"/>
        <w:gridCol w:w="2925"/>
        <w:gridCol w:w="2326"/>
        <w:gridCol w:w="3022"/>
      </w:tblGrid>
      <w:tr w14:paraId="5CEA1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trPr>
        <w:tc>
          <w:tcPr>
            <w:tcW w:w="1205" w:type="dxa"/>
            <w:vAlign w:val="center"/>
          </w:tcPr>
          <w:p w14:paraId="476AD229">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2925" w:type="dxa"/>
            <w:vAlign w:val="center"/>
          </w:tcPr>
          <w:p w14:paraId="168B135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车辆</w:t>
            </w:r>
            <w:r>
              <w:rPr>
                <w:rFonts w:hint="eastAsia" w:ascii="宋体" w:hAnsi="宋体" w:eastAsia="宋体" w:cs="宋体"/>
                <w:color w:val="auto"/>
                <w:sz w:val="24"/>
                <w:szCs w:val="24"/>
                <w:highlight w:val="none"/>
              </w:rPr>
              <w:t>设备名称</w:t>
            </w:r>
          </w:p>
        </w:tc>
        <w:tc>
          <w:tcPr>
            <w:tcW w:w="2326" w:type="dxa"/>
            <w:vAlign w:val="center"/>
          </w:tcPr>
          <w:p w14:paraId="32E45F09">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3022" w:type="dxa"/>
            <w:vAlign w:val="center"/>
          </w:tcPr>
          <w:p w14:paraId="5837E0C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14:paraId="2F80A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1205" w:type="dxa"/>
            <w:vAlign w:val="center"/>
          </w:tcPr>
          <w:p w14:paraId="058A08CA">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925" w:type="dxa"/>
            <w:vAlign w:val="center"/>
          </w:tcPr>
          <w:p w14:paraId="421EF0F7">
            <w:pPr>
              <w:jc w:val="center"/>
              <w:rPr>
                <w:rFonts w:hint="eastAsia" w:ascii="宋体" w:hAnsi="宋体" w:eastAsia="宋体" w:cs="宋体"/>
                <w:color w:val="auto"/>
                <w:sz w:val="24"/>
                <w:highlight w:val="none"/>
              </w:rPr>
            </w:pPr>
          </w:p>
        </w:tc>
        <w:tc>
          <w:tcPr>
            <w:tcW w:w="2326" w:type="dxa"/>
            <w:vAlign w:val="center"/>
          </w:tcPr>
          <w:p w14:paraId="0285652D">
            <w:pPr>
              <w:jc w:val="center"/>
              <w:rPr>
                <w:rFonts w:hint="eastAsia" w:ascii="宋体" w:hAnsi="宋体" w:eastAsia="宋体" w:cs="宋体"/>
                <w:color w:val="auto"/>
                <w:sz w:val="24"/>
                <w:szCs w:val="24"/>
                <w:highlight w:val="none"/>
              </w:rPr>
            </w:pPr>
          </w:p>
        </w:tc>
        <w:tc>
          <w:tcPr>
            <w:tcW w:w="3022" w:type="dxa"/>
            <w:vAlign w:val="center"/>
          </w:tcPr>
          <w:p w14:paraId="3C498E24">
            <w:pPr>
              <w:jc w:val="center"/>
              <w:rPr>
                <w:rFonts w:hint="eastAsia" w:ascii="宋体" w:hAnsi="宋体" w:eastAsia="宋体" w:cs="宋体"/>
                <w:color w:val="auto"/>
                <w:sz w:val="24"/>
                <w:szCs w:val="24"/>
                <w:highlight w:val="none"/>
              </w:rPr>
            </w:pPr>
          </w:p>
        </w:tc>
      </w:tr>
      <w:tr w14:paraId="7C965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1205" w:type="dxa"/>
            <w:vAlign w:val="center"/>
          </w:tcPr>
          <w:p w14:paraId="3CB1F70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2925" w:type="dxa"/>
            <w:vAlign w:val="center"/>
          </w:tcPr>
          <w:p w14:paraId="3FB3F866">
            <w:pPr>
              <w:jc w:val="center"/>
              <w:rPr>
                <w:rFonts w:hint="eastAsia" w:ascii="宋体" w:hAnsi="宋体" w:eastAsia="宋体" w:cs="宋体"/>
                <w:color w:val="auto"/>
                <w:sz w:val="24"/>
                <w:highlight w:val="none"/>
              </w:rPr>
            </w:pPr>
          </w:p>
        </w:tc>
        <w:tc>
          <w:tcPr>
            <w:tcW w:w="2326" w:type="dxa"/>
            <w:vAlign w:val="center"/>
          </w:tcPr>
          <w:p w14:paraId="48DFC09D">
            <w:pPr>
              <w:jc w:val="center"/>
              <w:rPr>
                <w:rFonts w:hint="eastAsia" w:ascii="宋体" w:hAnsi="宋体" w:eastAsia="宋体" w:cs="宋体"/>
                <w:color w:val="auto"/>
                <w:sz w:val="24"/>
                <w:szCs w:val="24"/>
                <w:highlight w:val="none"/>
              </w:rPr>
            </w:pPr>
          </w:p>
        </w:tc>
        <w:tc>
          <w:tcPr>
            <w:tcW w:w="3022" w:type="dxa"/>
            <w:vAlign w:val="center"/>
          </w:tcPr>
          <w:p w14:paraId="0FE72F22">
            <w:pPr>
              <w:jc w:val="center"/>
              <w:rPr>
                <w:rFonts w:hint="eastAsia" w:ascii="宋体" w:hAnsi="宋体" w:eastAsia="宋体" w:cs="宋体"/>
                <w:color w:val="auto"/>
                <w:sz w:val="24"/>
                <w:szCs w:val="24"/>
                <w:highlight w:val="none"/>
              </w:rPr>
            </w:pPr>
          </w:p>
        </w:tc>
      </w:tr>
      <w:tr w14:paraId="642AE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1205" w:type="dxa"/>
            <w:vAlign w:val="center"/>
          </w:tcPr>
          <w:p w14:paraId="50D800A9">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2925" w:type="dxa"/>
            <w:vAlign w:val="center"/>
          </w:tcPr>
          <w:p w14:paraId="0383E155">
            <w:pPr>
              <w:jc w:val="center"/>
              <w:rPr>
                <w:rFonts w:hint="eastAsia" w:ascii="宋体" w:hAnsi="宋体" w:eastAsia="宋体" w:cs="宋体"/>
                <w:color w:val="auto"/>
                <w:sz w:val="24"/>
                <w:highlight w:val="none"/>
              </w:rPr>
            </w:pPr>
          </w:p>
        </w:tc>
        <w:tc>
          <w:tcPr>
            <w:tcW w:w="2326" w:type="dxa"/>
            <w:vAlign w:val="center"/>
          </w:tcPr>
          <w:p w14:paraId="64ACB382">
            <w:pPr>
              <w:jc w:val="center"/>
              <w:rPr>
                <w:rFonts w:hint="eastAsia" w:ascii="宋体" w:hAnsi="宋体" w:eastAsia="宋体" w:cs="宋体"/>
                <w:color w:val="auto"/>
                <w:sz w:val="24"/>
                <w:szCs w:val="24"/>
                <w:highlight w:val="none"/>
              </w:rPr>
            </w:pPr>
          </w:p>
        </w:tc>
        <w:tc>
          <w:tcPr>
            <w:tcW w:w="3022" w:type="dxa"/>
            <w:vAlign w:val="center"/>
          </w:tcPr>
          <w:p w14:paraId="4144C62F">
            <w:pPr>
              <w:jc w:val="center"/>
              <w:rPr>
                <w:rFonts w:hint="eastAsia" w:ascii="宋体" w:hAnsi="宋体" w:eastAsia="宋体" w:cs="宋体"/>
                <w:color w:val="auto"/>
                <w:sz w:val="24"/>
                <w:szCs w:val="24"/>
                <w:highlight w:val="none"/>
              </w:rPr>
            </w:pPr>
          </w:p>
        </w:tc>
      </w:tr>
      <w:tr w14:paraId="2D560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205" w:type="dxa"/>
            <w:vAlign w:val="center"/>
          </w:tcPr>
          <w:p w14:paraId="2F54037C">
            <w:pPr>
              <w:jc w:val="center"/>
              <w:rPr>
                <w:rFonts w:hint="eastAsia" w:ascii="宋体" w:hAnsi="宋体" w:eastAsia="宋体" w:cs="宋体"/>
                <w:color w:val="auto"/>
                <w:sz w:val="24"/>
                <w:szCs w:val="24"/>
                <w:highlight w:val="none"/>
              </w:rPr>
            </w:pPr>
            <w:r>
              <w:rPr>
                <w:rFonts w:hint="eastAsia" w:ascii="宋体" w:hAnsi="宋体" w:eastAsia="宋体" w:cs="宋体"/>
                <w:color w:val="auto"/>
                <w:szCs w:val="21"/>
                <w:highlight w:val="none"/>
              </w:rPr>
              <w:t>……</w:t>
            </w:r>
          </w:p>
        </w:tc>
        <w:tc>
          <w:tcPr>
            <w:tcW w:w="2925" w:type="dxa"/>
            <w:vAlign w:val="center"/>
          </w:tcPr>
          <w:p w14:paraId="70EDBC3A">
            <w:pPr>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Cs w:val="21"/>
                <w:highlight w:val="none"/>
              </w:rPr>
              <w:t>……</w:t>
            </w:r>
          </w:p>
        </w:tc>
        <w:tc>
          <w:tcPr>
            <w:tcW w:w="2326" w:type="dxa"/>
            <w:vAlign w:val="center"/>
          </w:tcPr>
          <w:p w14:paraId="1ED4048D">
            <w:pPr>
              <w:jc w:val="center"/>
              <w:rPr>
                <w:rFonts w:hint="eastAsia" w:ascii="宋体" w:hAnsi="宋体" w:eastAsia="宋体" w:cs="宋体"/>
                <w:color w:val="auto"/>
                <w:sz w:val="24"/>
                <w:szCs w:val="24"/>
                <w:highlight w:val="none"/>
              </w:rPr>
            </w:pPr>
          </w:p>
        </w:tc>
        <w:tc>
          <w:tcPr>
            <w:tcW w:w="3022" w:type="dxa"/>
            <w:vAlign w:val="center"/>
          </w:tcPr>
          <w:p w14:paraId="2809EB87">
            <w:pPr>
              <w:jc w:val="center"/>
              <w:rPr>
                <w:rFonts w:hint="eastAsia" w:ascii="宋体" w:hAnsi="宋体" w:eastAsia="宋体" w:cs="宋体"/>
                <w:color w:val="auto"/>
                <w:sz w:val="24"/>
                <w:szCs w:val="24"/>
                <w:highlight w:val="none"/>
              </w:rPr>
            </w:pPr>
          </w:p>
        </w:tc>
      </w:tr>
    </w:tbl>
    <w:p w14:paraId="47008E3D">
      <w:pPr>
        <w:spacing w:line="44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rPr>
        <w:t>注：</w:t>
      </w:r>
      <w:r>
        <w:rPr>
          <w:rFonts w:hint="eastAsia" w:ascii="宋体" w:hAnsi="宋体" w:eastAsia="宋体" w:cs="宋体"/>
          <w:bCs/>
          <w:color w:val="auto"/>
          <w:sz w:val="24"/>
          <w:szCs w:val="24"/>
          <w:highlight w:val="none"/>
        </w:rPr>
        <w:t>投标文件中须根据“第四章 采购需求”、“第五章  评审方法与评审标准”提供相关说明及证明材料</w:t>
      </w:r>
    </w:p>
    <w:p w14:paraId="55CF269D">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645289DA">
      <w:pPr>
        <w:pStyle w:val="3"/>
        <w:keepNext w:val="0"/>
        <w:pageBreakBefore/>
        <w:rPr>
          <w:rFonts w:hint="eastAsia" w:ascii="宋体" w:hAnsi="宋体" w:eastAsia="宋体" w:cs="宋体"/>
          <w:color w:val="auto"/>
          <w:highlight w:val="none"/>
        </w:rPr>
      </w:pPr>
      <w:bookmarkStart w:id="323" w:name="_Toc21630"/>
      <w:r>
        <w:rPr>
          <w:rFonts w:hint="eastAsia" w:ascii="宋体" w:hAnsi="宋体" w:eastAsia="宋体" w:cs="宋体"/>
          <w:color w:val="auto"/>
          <w:highlight w:val="none"/>
        </w:rPr>
        <w:t>附件1</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 xml:space="preserve"> 业绩一览表</w:t>
      </w:r>
      <w:bookmarkEnd w:id="322"/>
      <w:bookmarkEnd w:id="323"/>
    </w:p>
    <w:tbl>
      <w:tblPr>
        <w:tblStyle w:val="54"/>
        <w:tblW w:w="980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2"/>
        <w:gridCol w:w="1404"/>
        <w:gridCol w:w="1776"/>
        <w:gridCol w:w="1860"/>
        <w:gridCol w:w="1296"/>
        <w:gridCol w:w="1779"/>
        <w:gridCol w:w="920"/>
      </w:tblGrid>
      <w:tr w14:paraId="68EF43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3" w:hRule="atLeast"/>
          <w:jc w:val="center"/>
        </w:trPr>
        <w:tc>
          <w:tcPr>
            <w:tcW w:w="772" w:type="dxa"/>
            <w:vAlign w:val="center"/>
          </w:tcPr>
          <w:p w14:paraId="7C786D90">
            <w:pPr>
              <w:pStyle w:val="177"/>
              <w:jc w:val="center"/>
              <w:rPr>
                <w:rFonts w:hint="eastAsia" w:ascii="宋体" w:hAnsi="宋体" w:eastAsia="宋体" w:cs="宋体"/>
                <w:b/>
                <w:bCs/>
                <w:color w:val="auto"/>
                <w:sz w:val="24"/>
                <w:highlight w:val="none"/>
              </w:rPr>
            </w:pPr>
            <w:bookmarkStart w:id="324" w:name="_Toc75437942"/>
            <w:r>
              <w:rPr>
                <w:rFonts w:hint="eastAsia" w:ascii="宋体" w:hAnsi="宋体" w:eastAsia="宋体" w:cs="宋体"/>
                <w:b/>
                <w:bCs/>
                <w:color w:val="auto"/>
                <w:sz w:val="24"/>
                <w:highlight w:val="none"/>
              </w:rPr>
              <w:t>序号</w:t>
            </w:r>
          </w:p>
        </w:tc>
        <w:tc>
          <w:tcPr>
            <w:tcW w:w="1404" w:type="dxa"/>
            <w:vAlign w:val="center"/>
          </w:tcPr>
          <w:p w14:paraId="07F509F6">
            <w:pPr>
              <w:pStyle w:val="177"/>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项目名称</w:t>
            </w:r>
          </w:p>
        </w:tc>
        <w:tc>
          <w:tcPr>
            <w:tcW w:w="1776" w:type="dxa"/>
            <w:vAlign w:val="center"/>
          </w:tcPr>
          <w:p w14:paraId="42167407">
            <w:pPr>
              <w:pStyle w:val="177"/>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主要服务内容</w:t>
            </w:r>
          </w:p>
        </w:tc>
        <w:tc>
          <w:tcPr>
            <w:tcW w:w="1860" w:type="dxa"/>
            <w:vAlign w:val="center"/>
          </w:tcPr>
          <w:p w14:paraId="2D0EAD9B">
            <w:pPr>
              <w:pStyle w:val="177"/>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合同/协议金额</w:t>
            </w:r>
          </w:p>
        </w:tc>
        <w:tc>
          <w:tcPr>
            <w:tcW w:w="1296" w:type="dxa"/>
            <w:vAlign w:val="center"/>
          </w:tcPr>
          <w:p w14:paraId="40C3A099">
            <w:pPr>
              <w:pStyle w:val="177"/>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实施时间</w:t>
            </w:r>
          </w:p>
        </w:tc>
        <w:tc>
          <w:tcPr>
            <w:tcW w:w="1779" w:type="dxa"/>
            <w:vAlign w:val="center"/>
          </w:tcPr>
          <w:p w14:paraId="49F73158">
            <w:pPr>
              <w:pStyle w:val="177"/>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甲方联系人及联系电话</w:t>
            </w:r>
          </w:p>
        </w:tc>
        <w:tc>
          <w:tcPr>
            <w:tcW w:w="920" w:type="dxa"/>
            <w:vAlign w:val="center"/>
          </w:tcPr>
          <w:p w14:paraId="1203454C">
            <w:pPr>
              <w:pStyle w:val="177"/>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备注</w:t>
            </w:r>
          </w:p>
        </w:tc>
      </w:tr>
      <w:tr w14:paraId="27443F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72" w:type="dxa"/>
            <w:vAlign w:val="center"/>
          </w:tcPr>
          <w:p w14:paraId="1F43C3BA">
            <w:pPr>
              <w:pStyle w:val="177"/>
              <w:spacing w:line="5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1404" w:type="dxa"/>
            <w:vAlign w:val="center"/>
          </w:tcPr>
          <w:p w14:paraId="660CBC3A">
            <w:pPr>
              <w:pStyle w:val="177"/>
              <w:spacing w:line="500" w:lineRule="exact"/>
              <w:jc w:val="center"/>
              <w:rPr>
                <w:rFonts w:hint="eastAsia" w:ascii="宋体" w:hAnsi="宋体" w:eastAsia="宋体" w:cs="宋体"/>
                <w:color w:val="auto"/>
                <w:sz w:val="24"/>
                <w:highlight w:val="none"/>
              </w:rPr>
            </w:pPr>
          </w:p>
        </w:tc>
        <w:tc>
          <w:tcPr>
            <w:tcW w:w="1776" w:type="dxa"/>
            <w:vAlign w:val="center"/>
          </w:tcPr>
          <w:p w14:paraId="4F260352">
            <w:pPr>
              <w:pStyle w:val="177"/>
              <w:spacing w:line="500" w:lineRule="exact"/>
              <w:jc w:val="center"/>
              <w:rPr>
                <w:rFonts w:hint="eastAsia" w:ascii="宋体" w:hAnsi="宋体" w:eastAsia="宋体" w:cs="宋体"/>
                <w:color w:val="auto"/>
                <w:sz w:val="24"/>
                <w:highlight w:val="none"/>
              </w:rPr>
            </w:pPr>
          </w:p>
        </w:tc>
        <w:tc>
          <w:tcPr>
            <w:tcW w:w="1860" w:type="dxa"/>
            <w:vAlign w:val="center"/>
          </w:tcPr>
          <w:p w14:paraId="18777C67">
            <w:pPr>
              <w:pStyle w:val="177"/>
              <w:spacing w:line="500" w:lineRule="exact"/>
              <w:jc w:val="center"/>
              <w:rPr>
                <w:rFonts w:hint="eastAsia" w:ascii="宋体" w:hAnsi="宋体" w:eastAsia="宋体" w:cs="宋体"/>
                <w:color w:val="auto"/>
                <w:sz w:val="24"/>
                <w:highlight w:val="none"/>
              </w:rPr>
            </w:pPr>
          </w:p>
        </w:tc>
        <w:tc>
          <w:tcPr>
            <w:tcW w:w="1296" w:type="dxa"/>
            <w:vAlign w:val="center"/>
          </w:tcPr>
          <w:p w14:paraId="3606037F">
            <w:pPr>
              <w:pStyle w:val="177"/>
              <w:spacing w:line="500" w:lineRule="exact"/>
              <w:jc w:val="center"/>
              <w:rPr>
                <w:rFonts w:hint="eastAsia" w:ascii="宋体" w:hAnsi="宋体" w:eastAsia="宋体" w:cs="宋体"/>
                <w:color w:val="auto"/>
                <w:sz w:val="24"/>
                <w:highlight w:val="none"/>
              </w:rPr>
            </w:pPr>
          </w:p>
        </w:tc>
        <w:tc>
          <w:tcPr>
            <w:tcW w:w="1779" w:type="dxa"/>
            <w:vAlign w:val="center"/>
          </w:tcPr>
          <w:p w14:paraId="3DA5E1BB">
            <w:pPr>
              <w:pStyle w:val="177"/>
              <w:spacing w:line="500" w:lineRule="exact"/>
              <w:jc w:val="center"/>
              <w:rPr>
                <w:rFonts w:hint="eastAsia" w:ascii="宋体" w:hAnsi="宋体" w:eastAsia="宋体" w:cs="宋体"/>
                <w:color w:val="auto"/>
                <w:sz w:val="24"/>
                <w:highlight w:val="none"/>
              </w:rPr>
            </w:pPr>
          </w:p>
        </w:tc>
        <w:tc>
          <w:tcPr>
            <w:tcW w:w="920" w:type="dxa"/>
            <w:vAlign w:val="center"/>
          </w:tcPr>
          <w:p w14:paraId="51DF1C46">
            <w:pPr>
              <w:pStyle w:val="177"/>
              <w:spacing w:line="500" w:lineRule="exact"/>
              <w:jc w:val="center"/>
              <w:rPr>
                <w:rFonts w:hint="eastAsia" w:ascii="宋体" w:hAnsi="宋体" w:eastAsia="宋体" w:cs="宋体"/>
                <w:color w:val="auto"/>
                <w:sz w:val="24"/>
                <w:highlight w:val="none"/>
              </w:rPr>
            </w:pPr>
          </w:p>
        </w:tc>
      </w:tr>
      <w:tr w14:paraId="6BF62A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72" w:type="dxa"/>
            <w:vAlign w:val="center"/>
          </w:tcPr>
          <w:p w14:paraId="17FA4AA1">
            <w:pPr>
              <w:pStyle w:val="177"/>
              <w:spacing w:line="5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1404" w:type="dxa"/>
            <w:vAlign w:val="center"/>
          </w:tcPr>
          <w:p w14:paraId="14EDA94F">
            <w:pPr>
              <w:pStyle w:val="177"/>
              <w:spacing w:line="500" w:lineRule="exact"/>
              <w:jc w:val="center"/>
              <w:rPr>
                <w:rFonts w:hint="eastAsia" w:ascii="宋体" w:hAnsi="宋体" w:eastAsia="宋体" w:cs="宋体"/>
                <w:color w:val="auto"/>
                <w:sz w:val="24"/>
                <w:highlight w:val="none"/>
              </w:rPr>
            </w:pPr>
          </w:p>
        </w:tc>
        <w:tc>
          <w:tcPr>
            <w:tcW w:w="1776" w:type="dxa"/>
            <w:vAlign w:val="center"/>
          </w:tcPr>
          <w:p w14:paraId="7BAAC69A">
            <w:pPr>
              <w:pStyle w:val="177"/>
              <w:spacing w:line="500" w:lineRule="exact"/>
              <w:jc w:val="center"/>
              <w:rPr>
                <w:rFonts w:hint="eastAsia" w:ascii="宋体" w:hAnsi="宋体" w:eastAsia="宋体" w:cs="宋体"/>
                <w:color w:val="auto"/>
                <w:sz w:val="24"/>
                <w:highlight w:val="none"/>
              </w:rPr>
            </w:pPr>
          </w:p>
        </w:tc>
        <w:tc>
          <w:tcPr>
            <w:tcW w:w="1860" w:type="dxa"/>
            <w:vAlign w:val="center"/>
          </w:tcPr>
          <w:p w14:paraId="76D2DEA1">
            <w:pPr>
              <w:pStyle w:val="177"/>
              <w:spacing w:line="500" w:lineRule="exact"/>
              <w:jc w:val="center"/>
              <w:rPr>
                <w:rFonts w:hint="eastAsia" w:ascii="宋体" w:hAnsi="宋体" w:eastAsia="宋体" w:cs="宋体"/>
                <w:color w:val="auto"/>
                <w:sz w:val="24"/>
                <w:highlight w:val="none"/>
              </w:rPr>
            </w:pPr>
          </w:p>
        </w:tc>
        <w:tc>
          <w:tcPr>
            <w:tcW w:w="1296" w:type="dxa"/>
            <w:vAlign w:val="center"/>
          </w:tcPr>
          <w:p w14:paraId="08315734">
            <w:pPr>
              <w:pStyle w:val="177"/>
              <w:spacing w:line="500" w:lineRule="exact"/>
              <w:jc w:val="center"/>
              <w:rPr>
                <w:rFonts w:hint="eastAsia" w:ascii="宋体" w:hAnsi="宋体" w:eastAsia="宋体" w:cs="宋体"/>
                <w:color w:val="auto"/>
                <w:sz w:val="24"/>
                <w:highlight w:val="none"/>
              </w:rPr>
            </w:pPr>
          </w:p>
        </w:tc>
        <w:tc>
          <w:tcPr>
            <w:tcW w:w="1779" w:type="dxa"/>
            <w:vAlign w:val="center"/>
          </w:tcPr>
          <w:p w14:paraId="2B2CE314">
            <w:pPr>
              <w:pStyle w:val="177"/>
              <w:spacing w:line="500" w:lineRule="exact"/>
              <w:jc w:val="center"/>
              <w:rPr>
                <w:rFonts w:hint="eastAsia" w:ascii="宋体" w:hAnsi="宋体" w:eastAsia="宋体" w:cs="宋体"/>
                <w:color w:val="auto"/>
                <w:sz w:val="24"/>
                <w:highlight w:val="none"/>
              </w:rPr>
            </w:pPr>
          </w:p>
        </w:tc>
        <w:tc>
          <w:tcPr>
            <w:tcW w:w="920" w:type="dxa"/>
            <w:vAlign w:val="center"/>
          </w:tcPr>
          <w:p w14:paraId="48C9FD38">
            <w:pPr>
              <w:pStyle w:val="177"/>
              <w:spacing w:line="500" w:lineRule="exact"/>
              <w:jc w:val="center"/>
              <w:rPr>
                <w:rFonts w:hint="eastAsia" w:ascii="宋体" w:hAnsi="宋体" w:eastAsia="宋体" w:cs="宋体"/>
                <w:color w:val="auto"/>
                <w:sz w:val="24"/>
                <w:highlight w:val="none"/>
              </w:rPr>
            </w:pPr>
          </w:p>
        </w:tc>
      </w:tr>
      <w:tr w14:paraId="43DA4B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72" w:type="dxa"/>
            <w:vAlign w:val="center"/>
          </w:tcPr>
          <w:p w14:paraId="0134E5FD">
            <w:pPr>
              <w:pStyle w:val="177"/>
              <w:spacing w:line="5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c>
          <w:tcPr>
            <w:tcW w:w="1404" w:type="dxa"/>
            <w:vAlign w:val="center"/>
          </w:tcPr>
          <w:p w14:paraId="45CCEFFD">
            <w:pPr>
              <w:pStyle w:val="177"/>
              <w:spacing w:line="500" w:lineRule="exact"/>
              <w:jc w:val="center"/>
              <w:rPr>
                <w:rFonts w:hint="eastAsia" w:ascii="宋体" w:hAnsi="宋体" w:eastAsia="宋体" w:cs="宋体"/>
                <w:color w:val="auto"/>
                <w:sz w:val="24"/>
                <w:highlight w:val="none"/>
              </w:rPr>
            </w:pPr>
          </w:p>
        </w:tc>
        <w:tc>
          <w:tcPr>
            <w:tcW w:w="1776" w:type="dxa"/>
            <w:vAlign w:val="center"/>
          </w:tcPr>
          <w:p w14:paraId="7F859326">
            <w:pPr>
              <w:pStyle w:val="177"/>
              <w:spacing w:line="500" w:lineRule="exact"/>
              <w:jc w:val="center"/>
              <w:rPr>
                <w:rFonts w:hint="eastAsia" w:ascii="宋体" w:hAnsi="宋体" w:eastAsia="宋体" w:cs="宋体"/>
                <w:color w:val="auto"/>
                <w:sz w:val="24"/>
                <w:highlight w:val="none"/>
              </w:rPr>
            </w:pPr>
          </w:p>
        </w:tc>
        <w:tc>
          <w:tcPr>
            <w:tcW w:w="1860" w:type="dxa"/>
            <w:vAlign w:val="center"/>
          </w:tcPr>
          <w:p w14:paraId="004BA14B">
            <w:pPr>
              <w:pStyle w:val="177"/>
              <w:spacing w:line="500" w:lineRule="exact"/>
              <w:jc w:val="center"/>
              <w:rPr>
                <w:rFonts w:hint="eastAsia" w:ascii="宋体" w:hAnsi="宋体" w:eastAsia="宋体" w:cs="宋体"/>
                <w:color w:val="auto"/>
                <w:sz w:val="24"/>
                <w:highlight w:val="none"/>
              </w:rPr>
            </w:pPr>
          </w:p>
        </w:tc>
        <w:tc>
          <w:tcPr>
            <w:tcW w:w="1296" w:type="dxa"/>
            <w:vAlign w:val="center"/>
          </w:tcPr>
          <w:p w14:paraId="457DB656">
            <w:pPr>
              <w:pStyle w:val="177"/>
              <w:spacing w:line="500" w:lineRule="exact"/>
              <w:jc w:val="center"/>
              <w:rPr>
                <w:rFonts w:hint="eastAsia" w:ascii="宋体" w:hAnsi="宋体" w:eastAsia="宋体" w:cs="宋体"/>
                <w:color w:val="auto"/>
                <w:sz w:val="24"/>
                <w:highlight w:val="none"/>
              </w:rPr>
            </w:pPr>
          </w:p>
        </w:tc>
        <w:tc>
          <w:tcPr>
            <w:tcW w:w="1779" w:type="dxa"/>
            <w:vAlign w:val="center"/>
          </w:tcPr>
          <w:p w14:paraId="0BD3BD51">
            <w:pPr>
              <w:pStyle w:val="177"/>
              <w:spacing w:line="500" w:lineRule="exact"/>
              <w:jc w:val="center"/>
              <w:rPr>
                <w:rFonts w:hint="eastAsia" w:ascii="宋体" w:hAnsi="宋体" w:eastAsia="宋体" w:cs="宋体"/>
                <w:color w:val="auto"/>
                <w:sz w:val="24"/>
                <w:highlight w:val="none"/>
              </w:rPr>
            </w:pPr>
          </w:p>
        </w:tc>
        <w:tc>
          <w:tcPr>
            <w:tcW w:w="920" w:type="dxa"/>
            <w:vAlign w:val="center"/>
          </w:tcPr>
          <w:p w14:paraId="55BD700C">
            <w:pPr>
              <w:pStyle w:val="177"/>
              <w:spacing w:line="500" w:lineRule="exact"/>
              <w:jc w:val="center"/>
              <w:rPr>
                <w:rFonts w:hint="eastAsia" w:ascii="宋体" w:hAnsi="宋体" w:eastAsia="宋体" w:cs="宋体"/>
                <w:color w:val="auto"/>
                <w:sz w:val="24"/>
                <w:highlight w:val="none"/>
              </w:rPr>
            </w:pPr>
          </w:p>
        </w:tc>
      </w:tr>
      <w:tr w14:paraId="046309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72" w:type="dxa"/>
            <w:vAlign w:val="center"/>
          </w:tcPr>
          <w:p w14:paraId="393D296D">
            <w:pPr>
              <w:pStyle w:val="177"/>
              <w:spacing w:line="5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p>
        </w:tc>
        <w:tc>
          <w:tcPr>
            <w:tcW w:w="1404" w:type="dxa"/>
            <w:vAlign w:val="center"/>
          </w:tcPr>
          <w:p w14:paraId="28A94FA7">
            <w:pPr>
              <w:pStyle w:val="177"/>
              <w:spacing w:line="500" w:lineRule="exact"/>
              <w:jc w:val="center"/>
              <w:rPr>
                <w:rFonts w:hint="eastAsia" w:ascii="宋体" w:hAnsi="宋体" w:eastAsia="宋体" w:cs="宋体"/>
                <w:color w:val="auto"/>
                <w:sz w:val="24"/>
                <w:highlight w:val="none"/>
              </w:rPr>
            </w:pPr>
          </w:p>
        </w:tc>
        <w:tc>
          <w:tcPr>
            <w:tcW w:w="1776" w:type="dxa"/>
            <w:vAlign w:val="center"/>
          </w:tcPr>
          <w:p w14:paraId="3A4FC016">
            <w:pPr>
              <w:pStyle w:val="177"/>
              <w:spacing w:line="500" w:lineRule="exact"/>
              <w:jc w:val="center"/>
              <w:rPr>
                <w:rFonts w:hint="eastAsia" w:ascii="宋体" w:hAnsi="宋体" w:eastAsia="宋体" w:cs="宋体"/>
                <w:color w:val="auto"/>
                <w:sz w:val="24"/>
                <w:highlight w:val="none"/>
              </w:rPr>
            </w:pPr>
          </w:p>
        </w:tc>
        <w:tc>
          <w:tcPr>
            <w:tcW w:w="1860" w:type="dxa"/>
            <w:vAlign w:val="center"/>
          </w:tcPr>
          <w:p w14:paraId="777580E2">
            <w:pPr>
              <w:pStyle w:val="177"/>
              <w:spacing w:line="500" w:lineRule="exact"/>
              <w:jc w:val="center"/>
              <w:rPr>
                <w:rFonts w:hint="eastAsia" w:ascii="宋体" w:hAnsi="宋体" w:eastAsia="宋体" w:cs="宋体"/>
                <w:color w:val="auto"/>
                <w:sz w:val="24"/>
                <w:highlight w:val="none"/>
              </w:rPr>
            </w:pPr>
          </w:p>
        </w:tc>
        <w:tc>
          <w:tcPr>
            <w:tcW w:w="1296" w:type="dxa"/>
            <w:vAlign w:val="center"/>
          </w:tcPr>
          <w:p w14:paraId="0481A695">
            <w:pPr>
              <w:pStyle w:val="177"/>
              <w:spacing w:line="500" w:lineRule="exact"/>
              <w:jc w:val="center"/>
              <w:rPr>
                <w:rFonts w:hint="eastAsia" w:ascii="宋体" w:hAnsi="宋体" w:eastAsia="宋体" w:cs="宋体"/>
                <w:color w:val="auto"/>
                <w:sz w:val="24"/>
                <w:highlight w:val="none"/>
              </w:rPr>
            </w:pPr>
          </w:p>
        </w:tc>
        <w:tc>
          <w:tcPr>
            <w:tcW w:w="1779" w:type="dxa"/>
            <w:vAlign w:val="center"/>
          </w:tcPr>
          <w:p w14:paraId="7B921150">
            <w:pPr>
              <w:pStyle w:val="177"/>
              <w:spacing w:line="500" w:lineRule="exact"/>
              <w:jc w:val="center"/>
              <w:rPr>
                <w:rFonts w:hint="eastAsia" w:ascii="宋体" w:hAnsi="宋体" w:eastAsia="宋体" w:cs="宋体"/>
                <w:color w:val="auto"/>
                <w:sz w:val="24"/>
                <w:highlight w:val="none"/>
              </w:rPr>
            </w:pPr>
          </w:p>
        </w:tc>
        <w:tc>
          <w:tcPr>
            <w:tcW w:w="920" w:type="dxa"/>
            <w:vAlign w:val="center"/>
          </w:tcPr>
          <w:p w14:paraId="3B813022">
            <w:pPr>
              <w:pStyle w:val="177"/>
              <w:spacing w:line="500" w:lineRule="exact"/>
              <w:jc w:val="center"/>
              <w:rPr>
                <w:rFonts w:hint="eastAsia" w:ascii="宋体" w:hAnsi="宋体" w:eastAsia="宋体" w:cs="宋体"/>
                <w:color w:val="auto"/>
                <w:sz w:val="24"/>
                <w:highlight w:val="none"/>
              </w:rPr>
            </w:pPr>
          </w:p>
        </w:tc>
      </w:tr>
      <w:tr w14:paraId="0A563D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72" w:type="dxa"/>
            <w:vAlign w:val="center"/>
          </w:tcPr>
          <w:p w14:paraId="5DAD9A9B">
            <w:pPr>
              <w:pStyle w:val="177"/>
              <w:spacing w:line="5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p>
        </w:tc>
        <w:tc>
          <w:tcPr>
            <w:tcW w:w="1404" w:type="dxa"/>
            <w:vAlign w:val="center"/>
          </w:tcPr>
          <w:p w14:paraId="004E63CE">
            <w:pPr>
              <w:pStyle w:val="177"/>
              <w:spacing w:line="500" w:lineRule="exact"/>
              <w:jc w:val="center"/>
              <w:rPr>
                <w:rFonts w:hint="eastAsia" w:ascii="宋体" w:hAnsi="宋体" w:eastAsia="宋体" w:cs="宋体"/>
                <w:color w:val="auto"/>
                <w:sz w:val="24"/>
                <w:highlight w:val="none"/>
              </w:rPr>
            </w:pPr>
          </w:p>
        </w:tc>
        <w:tc>
          <w:tcPr>
            <w:tcW w:w="1776" w:type="dxa"/>
            <w:vAlign w:val="center"/>
          </w:tcPr>
          <w:p w14:paraId="6226D1D3">
            <w:pPr>
              <w:pStyle w:val="177"/>
              <w:spacing w:line="500" w:lineRule="exact"/>
              <w:jc w:val="center"/>
              <w:rPr>
                <w:rFonts w:hint="eastAsia" w:ascii="宋体" w:hAnsi="宋体" w:eastAsia="宋体" w:cs="宋体"/>
                <w:color w:val="auto"/>
                <w:sz w:val="24"/>
                <w:highlight w:val="none"/>
              </w:rPr>
            </w:pPr>
          </w:p>
        </w:tc>
        <w:tc>
          <w:tcPr>
            <w:tcW w:w="1860" w:type="dxa"/>
            <w:vAlign w:val="center"/>
          </w:tcPr>
          <w:p w14:paraId="5845C01D">
            <w:pPr>
              <w:pStyle w:val="177"/>
              <w:spacing w:line="500" w:lineRule="exact"/>
              <w:jc w:val="center"/>
              <w:rPr>
                <w:rFonts w:hint="eastAsia" w:ascii="宋体" w:hAnsi="宋体" w:eastAsia="宋体" w:cs="宋体"/>
                <w:color w:val="auto"/>
                <w:sz w:val="24"/>
                <w:highlight w:val="none"/>
              </w:rPr>
            </w:pPr>
          </w:p>
        </w:tc>
        <w:tc>
          <w:tcPr>
            <w:tcW w:w="1296" w:type="dxa"/>
            <w:vAlign w:val="center"/>
          </w:tcPr>
          <w:p w14:paraId="0F661D44">
            <w:pPr>
              <w:pStyle w:val="177"/>
              <w:spacing w:line="500" w:lineRule="exact"/>
              <w:jc w:val="center"/>
              <w:rPr>
                <w:rFonts w:hint="eastAsia" w:ascii="宋体" w:hAnsi="宋体" w:eastAsia="宋体" w:cs="宋体"/>
                <w:color w:val="auto"/>
                <w:sz w:val="24"/>
                <w:highlight w:val="none"/>
              </w:rPr>
            </w:pPr>
          </w:p>
        </w:tc>
        <w:tc>
          <w:tcPr>
            <w:tcW w:w="1779" w:type="dxa"/>
            <w:vAlign w:val="center"/>
          </w:tcPr>
          <w:p w14:paraId="477252C7">
            <w:pPr>
              <w:pStyle w:val="177"/>
              <w:spacing w:line="500" w:lineRule="exact"/>
              <w:jc w:val="center"/>
              <w:rPr>
                <w:rFonts w:hint="eastAsia" w:ascii="宋体" w:hAnsi="宋体" w:eastAsia="宋体" w:cs="宋体"/>
                <w:color w:val="auto"/>
                <w:sz w:val="24"/>
                <w:highlight w:val="none"/>
              </w:rPr>
            </w:pPr>
          </w:p>
        </w:tc>
        <w:tc>
          <w:tcPr>
            <w:tcW w:w="920" w:type="dxa"/>
            <w:vAlign w:val="center"/>
          </w:tcPr>
          <w:p w14:paraId="7B5C333E">
            <w:pPr>
              <w:pStyle w:val="177"/>
              <w:spacing w:line="500" w:lineRule="exact"/>
              <w:jc w:val="center"/>
              <w:rPr>
                <w:rFonts w:hint="eastAsia" w:ascii="宋体" w:hAnsi="宋体" w:eastAsia="宋体" w:cs="宋体"/>
                <w:color w:val="auto"/>
                <w:sz w:val="24"/>
                <w:highlight w:val="none"/>
              </w:rPr>
            </w:pPr>
          </w:p>
        </w:tc>
      </w:tr>
    </w:tbl>
    <w:p w14:paraId="350D97DB">
      <w:pPr>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注：</w:t>
      </w:r>
      <w:r>
        <w:rPr>
          <w:rFonts w:hint="eastAsia" w:ascii="宋体" w:hAnsi="宋体" w:eastAsia="宋体" w:cs="宋体"/>
          <w:bCs/>
          <w:color w:val="auto"/>
          <w:sz w:val="24"/>
          <w:szCs w:val="24"/>
          <w:highlight w:val="none"/>
        </w:rPr>
        <w:t>1、上述业绩应为投标人根据“第五章  评审方法与评审标准”提供相关说明及证明材料（如果有的话）。</w:t>
      </w:r>
    </w:p>
    <w:p w14:paraId="17DD66DE">
      <w:pPr>
        <w:spacing w:line="440" w:lineRule="exact"/>
        <w:ind w:firstLine="600" w:firstLineChars="25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2、如有需要说明的事项，请在备注中列明。</w:t>
      </w:r>
    </w:p>
    <w:p w14:paraId="18E67B08">
      <w:pPr>
        <w:spacing w:line="440" w:lineRule="exact"/>
        <w:ind w:firstLine="600" w:firstLineChars="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3、我方在此声明，我方所提供的以上资料均真实和准确；我方保证上述信息的真实和准确，并愿意承担因我方就此弄虚作假所引起的一切法律后果。</w:t>
      </w:r>
    </w:p>
    <w:p w14:paraId="766BC988">
      <w:pPr>
        <w:spacing w:line="440" w:lineRule="exact"/>
        <w:ind w:firstLine="600" w:firstLineChars="250"/>
        <w:rPr>
          <w:rFonts w:hint="eastAsia" w:ascii="宋体" w:hAnsi="宋体" w:eastAsia="宋体" w:cs="宋体"/>
          <w:bCs/>
          <w:color w:val="auto"/>
          <w:sz w:val="24"/>
          <w:highlight w:val="none"/>
        </w:rPr>
      </w:pPr>
    </w:p>
    <w:p w14:paraId="20F36252">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br w:type="page"/>
      </w:r>
    </w:p>
    <w:bookmarkEnd w:id="324"/>
    <w:p w14:paraId="4E2778B0">
      <w:pPr>
        <w:pStyle w:val="3"/>
        <w:keepNext w:val="0"/>
        <w:pageBreakBefore/>
        <w:rPr>
          <w:rFonts w:hint="eastAsia" w:ascii="宋体" w:hAnsi="宋体" w:eastAsia="宋体" w:cs="宋体"/>
          <w:color w:val="auto"/>
          <w:highlight w:val="none"/>
        </w:rPr>
      </w:pPr>
      <w:bookmarkStart w:id="325" w:name="_Toc14641"/>
      <w:bookmarkStart w:id="326" w:name="_Toc69302323"/>
      <w:bookmarkStart w:id="327" w:name="_Toc14574"/>
      <w:r>
        <w:rPr>
          <w:rFonts w:hint="eastAsia" w:ascii="宋体" w:hAnsi="宋体" w:eastAsia="宋体" w:cs="宋体"/>
          <w:color w:val="auto"/>
          <w:highlight w:val="none"/>
        </w:rPr>
        <w:t>附件1</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 xml:space="preserve"> 商务条件响应及偏离表</w:t>
      </w:r>
      <w:bookmarkEnd w:id="325"/>
      <w:bookmarkEnd w:id="326"/>
      <w:bookmarkEnd w:id="327"/>
    </w:p>
    <w:tbl>
      <w:tblPr>
        <w:tblStyle w:val="54"/>
        <w:tblW w:w="953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30"/>
        <w:gridCol w:w="1412"/>
        <w:gridCol w:w="4097"/>
      </w:tblGrid>
      <w:tr w14:paraId="251EA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7D3E30E0">
            <w:pPr>
              <w:spacing w:line="3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合同条款号</w:t>
            </w:r>
          </w:p>
        </w:tc>
        <w:tc>
          <w:tcPr>
            <w:tcW w:w="1412" w:type="dxa"/>
            <w:vAlign w:val="center"/>
          </w:tcPr>
          <w:p w14:paraId="64041F40">
            <w:pPr>
              <w:spacing w:line="3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有无偏离</w:t>
            </w:r>
          </w:p>
        </w:tc>
        <w:tc>
          <w:tcPr>
            <w:tcW w:w="4097" w:type="dxa"/>
            <w:vAlign w:val="center"/>
          </w:tcPr>
          <w:p w14:paraId="4523CCC3">
            <w:pPr>
              <w:spacing w:line="3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偏离内容及原因</w:t>
            </w:r>
          </w:p>
        </w:tc>
      </w:tr>
      <w:tr w14:paraId="7A127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465F7F7A">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合同组成部分</w:t>
            </w:r>
          </w:p>
        </w:tc>
        <w:tc>
          <w:tcPr>
            <w:tcW w:w="1412" w:type="dxa"/>
            <w:vAlign w:val="center"/>
          </w:tcPr>
          <w:p w14:paraId="33CC70A7">
            <w:pPr>
              <w:spacing w:line="320" w:lineRule="exact"/>
              <w:rPr>
                <w:rFonts w:hint="eastAsia" w:ascii="宋体" w:hAnsi="宋体" w:eastAsia="宋体" w:cs="宋体"/>
                <w:color w:val="auto"/>
                <w:sz w:val="24"/>
                <w:szCs w:val="24"/>
                <w:highlight w:val="none"/>
              </w:rPr>
            </w:pPr>
          </w:p>
        </w:tc>
        <w:tc>
          <w:tcPr>
            <w:tcW w:w="4097" w:type="dxa"/>
            <w:vAlign w:val="center"/>
          </w:tcPr>
          <w:p w14:paraId="49386106">
            <w:pPr>
              <w:spacing w:line="320" w:lineRule="exact"/>
              <w:rPr>
                <w:rFonts w:hint="eastAsia" w:ascii="宋体" w:hAnsi="宋体" w:eastAsia="宋体" w:cs="宋体"/>
                <w:color w:val="auto"/>
                <w:sz w:val="24"/>
                <w:szCs w:val="24"/>
                <w:highlight w:val="none"/>
              </w:rPr>
            </w:pPr>
          </w:p>
        </w:tc>
      </w:tr>
      <w:tr w14:paraId="67B8C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58D62C1A">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 标的</w:t>
            </w:r>
          </w:p>
        </w:tc>
        <w:tc>
          <w:tcPr>
            <w:tcW w:w="1412" w:type="dxa"/>
            <w:vAlign w:val="center"/>
          </w:tcPr>
          <w:p w14:paraId="5FCC75D7">
            <w:pPr>
              <w:spacing w:line="320" w:lineRule="exact"/>
              <w:rPr>
                <w:rFonts w:hint="eastAsia" w:ascii="宋体" w:hAnsi="宋体" w:eastAsia="宋体" w:cs="宋体"/>
                <w:color w:val="auto"/>
                <w:sz w:val="24"/>
                <w:szCs w:val="24"/>
                <w:highlight w:val="none"/>
              </w:rPr>
            </w:pPr>
          </w:p>
        </w:tc>
        <w:tc>
          <w:tcPr>
            <w:tcW w:w="4097" w:type="dxa"/>
            <w:vAlign w:val="center"/>
          </w:tcPr>
          <w:p w14:paraId="0AA7DF5F">
            <w:pPr>
              <w:spacing w:line="320" w:lineRule="exact"/>
              <w:rPr>
                <w:rFonts w:hint="eastAsia" w:ascii="宋体" w:hAnsi="宋体" w:eastAsia="宋体" w:cs="宋体"/>
                <w:color w:val="auto"/>
                <w:sz w:val="24"/>
                <w:szCs w:val="24"/>
                <w:highlight w:val="none"/>
              </w:rPr>
            </w:pPr>
          </w:p>
        </w:tc>
      </w:tr>
      <w:tr w14:paraId="6D08E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591E658A">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 付款方式、开票方式</w:t>
            </w:r>
          </w:p>
        </w:tc>
        <w:tc>
          <w:tcPr>
            <w:tcW w:w="1412" w:type="dxa"/>
            <w:vAlign w:val="center"/>
          </w:tcPr>
          <w:p w14:paraId="52CC39E2">
            <w:pPr>
              <w:spacing w:line="320" w:lineRule="exact"/>
              <w:rPr>
                <w:rFonts w:hint="eastAsia" w:ascii="宋体" w:hAnsi="宋体" w:eastAsia="宋体" w:cs="宋体"/>
                <w:color w:val="auto"/>
                <w:sz w:val="24"/>
                <w:szCs w:val="24"/>
                <w:highlight w:val="none"/>
              </w:rPr>
            </w:pPr>
          </w:p>
        </w:tc>
        <w:tc>
          <w:tcPr>
            <w:tcW w:w="4097" w:type="dxa"/>
            <w:vAlign w:val="center"/>
          </w:tcPr>
          <w:p w14:paraId="0C12FB74">
            <w:pPr>
              <w:spacing w:line="320" w:lineRule="exact"/>
              <w:rPr>
                <w:rFonts w:hint="eastAsia" w:ascii="宋体" w:hAnsi="宋体" w:eastAsia="宋体" w:cs="宋体"/>
                <w:color w:val="auto"/>
                <w:sz w:val="24"/>
                <w:szCs w:val="24"/>
                <w:highlight w:val="none"/>
              </w:rPr>
            </w:pPr>
          </w:p>
        </w:tc>
      </w:tr>
      <w:tr w14:paraId="75720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0EC2B532">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 服务期限和地点</w:t>
            </w:r>
          </w:p>
        </w:tc>
        <w:tc>
          <w:tcPr>
            <w:tcW w:w="1412" w:type="dxa"/>
            <w:vAlign w:val="center"/>
          </w:tcPr>
          <w:p w14:paraId="2A9C7EF3">
            <w:pPr>
              <w:spacing w:line="320" w:lineRule="exact"/>
              <w:rPr>
                <w:rFonts w:hint="eastAsia" w:ascii="宋体" w:hAnsi="宋体" w:eastAsia="宋体" w:cs="宋体"/>
                <w:color w:val="auto"/>
                <w:sz w:val="24"/>
                <w:szCs w:val="24"/>
                <w:highlight w:val="none"/>
              </w:rPr>
            </w:pPr>
          </w:p>
        </w:tc>
        <w:tc>
          <w:tcPr>
            <w:tcW w:w="4097" w:type="dxa"/>
            <w:vAlign w:val="center"/>
          </w:tcPr>
          <w:p w14:paraId="7606E2A9">
            <w:pPr>
              <w:spacing w:line="320" w:lineRule="exact"/>
              <w:rPr>
                <w:rFonts w:hint="eastAsia" w:ascii="宋体" w:hAnsi="宋体" w:eastAsia="宋体" w:cs="宋体"/>
                <w:color w:val="auto"/>
                <w:sz w:val="24"/>
                <w:szCs w:val="24"/>
                <w:highlight w:val="none"/>
              </w:rPr>
            </w:pPr>
          </w:p>
        </w:tc>
      </w:tr>
      <w:tr w14:paraId="54DAF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3EFCBBDF">
            <w:pPr>
              <w:spacing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1.6 </w:t>
            </w:r>
            <w:r>
              <w:rPr>
                <w:rFonts w:hint="eastAsia" w:ascii="宋体" w:hAnsi="宋体" w:eastAsia="宋体" w:cs="宋体"/>
                <w:color w:val="auto"/>
                <w:sz w:val="24"/>
                <w:szCs w:val="24"/>
                <w:highlight w:val="none"/>
                <w:lang w:val="en-US" w:eastAsia="zh-CN"/>
              </w:rPr>
              <w:t>验收办法</w:t>
            </w:r>
          </w:p>
        </w:tc>
        <w:tc>
          <w:tcPr>
            <w:tcW w:w="1412" w:type="dxa"/>
            <w:vAlign w:val="center"/>
          </w:tcPr>
          <w:p w14:paraId="74FC80F2">
            <w:pPr>
              <w:spacing w:line="320" w:lineRule="exact"/>
              <w:rPr>
                <w:rFonts w:hint="eastAsia" w:ascii="宋体" w:hAnsi="宋体" w:eastAsia="宋体" w:cs="宋体"/>
                <w:color w:val="auto"/>
                <w:sz w:val="24"/>
                <w:szCs w:val="24"/>
                <w:highlight w:val="none"/>
              </w:rPr>
            </w:pPr>
          </w:p>
        </w:tc>
        <w:tc>
          <w:tcPr>
            <w:tcW w:w="4097" w:type="dxa"/>
            <w:vAlign w:val="center"/>
          </w:tcPr>
          <w:p w14:paraId="2EA28D11">
            <w:pPr>
              <w:spacing w:line="320" w:lineRule="exact"/>
              <w:rPr>
                <w:rFonts w:hint="eastAsia" w:ascii="宋体" w:hAnsi="宋体" w:eastAsia="宋体" w:cs="宋体"/>
                <w:color w:val="auto"/>
                <w:sz w:val="24"/>
                <w:szCs w:val="24"/>
                <w:highlight w:val="none"/>
              </w:rPr>
            </w:pPr>
          </w:p>
        </w:tc>
      </w:tr>
      <w:tr w14:paraId="53BBB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0E71D4B2">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双方权利义务</w:t>
            </w:r>
          </w:p>
        </w:tc>
        <w:tc>
          <w:tcPr>
            <w:tcW w:w="1412" w:type="dxa"/>
            <w:vAlign w:val="center"/>
          </w:tcPr>
          <w:p w14:paraId="2A24B2A8">
            <w:pPr>
              <w:spacing w:line="320" w:lineRule="exact"/>
              <w:rPr>
                <w:rFonts w:hint="eastAsia" w:ascii="宋体" w:hAnsi="宋体" w:eastAsia="宋体" w:cs="宋体"/>
                <w:color w:val="auto"/>
                <w:sz w:val="24"/>
                <w:szCs w:val="24"/>
                <w:highlight w:val="none"/>
              </w:rPr>
            </w:pPr>
          </w:p>
        </w:tc>
        <w:tc>
          <w:tcPr>
            <w:tcW w:w="4097" w:type="dxa"/>
            <w:vAlign w:val="center"/>
          </w:tcPr>
          <w:p w14:paraId="0AAE8251">
            <w:pPr>
              <w:spacing w:line="320" w:lineRule="exact"/>
              <w:rPr>
                <w:rFonts w:hint="eastAsia" w:ascii="宋体" w:hAnsi="宋体" w:eastAsia="宋体" w:cs="宋体"/>
                <w:color w:val="auto"/>
                <w:sz w:val="24"/>
                <w:szCs w:val="24"/>
                <w:highlight w:val="none"/>
              </w:rPr>
            </w:pPr>
          </w:p>
        </w:tc>
      </w:tr>
      <w:tr w14:paraId="62B1E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771D826F">
            <w:pPr>
              <w:spacing w:line="32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1.8 </w:t>
            </w:r>
            <w:r>
              <w:rPr>
                <w:rFonts w:hint="eastAsia" w:ascii="宋体" w:hAnsi="宋体" w:eastAsia="宋体" w:cs="宋体"/>
                <w:color w:val="auto"/>
                <w:sz w:val="24"/>
                <w:szCs w:val="24"/>
                <w:highlight w:val="none"/>
              </w:rPr>
              <w:t>违约责任</w:t>
            </w:r>
          </w:p>
        </w:tc>
        <w:tc>
          <w:tcPr>
            <w:tcW w:w="1412" w:type="dxa"/>
            <w:vAlign w:val="center"/>
          </w:tcPr>
          <w:p w14:paraId="64083F37">
            <w:pPr>
              <w:spacing w:line="320" w:lineRule="exact"/>
              <w:rPr>
                <w:rFonts w:hint="eastAsia" w:ascii="宋体" w:hAnsi="宋体" w:eastAsia="宋体" w:cs="宋体"/>
                <w:color w:val="auto"/>
                <w:sz w:val="24"/>
                <w:szCs w:val="24"/>
                <w:highlight w:val="none"/>
              </w:rPr>
            </w:pPr>
          </w:p>
        </w:tc>
        <w:tc>
          <w:tcPr>
            <w:tcW w:w="4097" w:type="dxa"/>
            <w:vAlign w:val="center"/>
          </w:tcPr>
          <w:p w14:paraId="0D200F74">
            <w:pPr>
              <w:spacing w:line="320" w:lineRule="exact"/>
              <w:rPr>
                <w:rFonts w:hint="eastAsia" w:ascii="宋体" w:hAnsi="宋体" w:eastAsia="宋体" w:cs="宋体"/>
                <w:color w:val="auto"/>
                <w:sz w:val="24"/>
                <w:szCs w:val="24"/>
                <w:highlight w:val="none"/>
              </w:rPr>
            </w:pPr>
          </w:p>
        </w:tc>
      </w:tr>
      <w:tr w14:paraId="627FB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0BC1E0F6">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 xml:space="preserve"> 合同的解除</w:t>
            </w:r>
          </w:p>
        </w:tc>
        <w:tc>
          <w:tcPr>
            <w:tcW w:w="1412" w:type="dxa"/>
            <w:vAlign w:val="center"/>
          </w:tcPr>
          <w:p w14:paraId="3258A90B">
            <w:pPr>
              <w:spacing w:line="320" w:lineRule="exact"/>
              <w:rPr>
                <w:rFonts w:hint="eastAsia" w:ascii="宋体" w:hAnsi="宋体" w:eastAsia="宋体" w:cs="宋体"/>
                <w:color w:val="auto"/>
                <w:sz w:val="24"/>
                <w:szCs w:val="24"/>
                <w:highlight w:val="none"/>
              </w:rPr>
            </w:pPr>
          </w:p>
        </w:tc>
        <w:tc>
          <w:tcPr>
            <w:tcW w:w="4097" w:type="dxa"/>
            <w:vAlign w:val="center"/>
          </w:tcPr>
          <w:p w14:paraId="7CD09380">
            <w:pPr>
              <w:spacing w:line="320" w:lineRule="exact"/>
              <w:rPr>
                <w:rFonts w:hint="eastAsia" w:ascii="宋体" w:hAnsi="宋体" w:eastAsia="宋体" w:cs="宋体"/>
                <w:color w:val="auto"/>
                <w:sz w:val="24"/>
                <w:szCs w:val="24"/>
                <w:highlight w:val="none"/>
              </w:rPr>
            </w:pPr>
          </w:p>
        </w:tc>
      </w:tr>
      <w:tr w14:paraId="4F449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1689B4AC">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 xml:space="preserve"> 合同争议的解决</w:t>
            </w:r>
          </w:p>
        </w:tc>
        <w:tc>
          <w:tcPr>
            <w:tcW w:w="1412" w:type="dxa"/>
            <w:vAlign w:val="center"/>
          </w:tcPr>
          <w:p w14:paraId="4BAA64B9">
            <w:pPr>
              <w:spacing w:line="320" w:lineRule="exact"/>
              <w:rPr>
                <w:rFonts w:hint="eastAsia" w:ascii="宋体" w:hAnsi="宋体" w:eastAsia="宋体" w:cs="宋体"/>
                <w:color w:val="auto"/>
                <w:sz w:val="24"/>
                <w:szCs w:val="24"/>
                <w:highlight w:val="none"/>
              </w:rPr>
            </w:pPr>
          </w:p>
        </w:tc>
        <w:tc>
          <w:tcPr>
            <w:tcW w:w="4097" w:type="dxa"/>
            <w:vAlign w:val="center"/>
          </w:tcPr>
          <w:p w14:paraId="3F78FA28">
            <w:pPr>
              <w:spacing w:line="320" w:lineRule="exact"/>
              <w:rPr>
                <w:rFonts w:hint="eastAsia" w:ascii="宋体" w:hAnsi="宋体" w:eastAsia="宋体" w:cs="宋体"/>
                <w:color w:val="auto"/>
                <w:sz w:val="24"/>
                <w:szCs w:val="24"/>
                <w:highlight w:val="none"/>
              </w:rPr>
            </w:pPr>
          </w:p>
        </w:tc>
      </w:tr>
      <w:tr w14:paraId="4AAC7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48C7BBCB">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 xml:space="preserve"> 合同生效及其他</w:t>
            </w:r>
          </w:p>
        </w:tc>
        <w:tc>
          <w:tcPr>
            <w:tcW w:w="1412" w:type="dxa"/>
            <w:vAlign w:val="center"/>
          </w:tcPr>
          <w:p w14:paraId="2544F50B">
            <w:pPr>
              <w:spacing w:line="320" w:lineRule="exact"/>
              <w:rPr>
                <w:rFonts w:hint="eastAsia" w:ascii="宋体" w:hAnsi="宋体" w:eastAsia="宋体" w:cs="宋体"/>
                <w:color w:val="auto"/>
                <w:sz w:val="24"/>
                <w:szCs w:val="24"/>
                <w:highlight w:val="none"/>
              </w:rPr>
            </w:pPr>
          </w:p>
        </w:tc>
        <w:tc>
          <w:tcPr>
            <w:tcW w:w="4097" w:type="dxa"/>
            <w:vAlign w:val="center"/>
          </w:tcPr>
          <w:p w14:paraId="4201DCCD">
            <w:pPr>
              <w:spacing w:line="320" w:lineRule="exact"/>
              <w:rPr>
                <w:rFonts w:hint="eastAsia" w:ascii="宋体" w:hAnsi="宋体" w:eastAsia="宋体" w:cs="宋体"/>
                <w:color w:val="auto"/>
                <w:sz w:val="24"/>
                <w:szCs w:val="24"/>
                <w:highlight w:val="none"/>
              </w:rPr>
            </w:pPr>
          </w:p>
        </w:tc>
      </w:tr>
      <w:tr w14:paraId="4F9C9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101B115F">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定义</w:t>
            </w:r>
          </w:p>
        </w:tc>
        <w:tc>
          <w:tcPr>
            <w:tcW w:w="1412" w:type="dxa"/>
            <w:vAlign w:val="center"/>
          </w:tcPr>
          <w:p w14:paraId="57003F2C">
            <w:pPr>
              <w:spacing w:line="320" w:lineRule="exact"/>
              <w:rPr>
                <w:rFonts w:hint="eastAsia" w:ascii="宋体" w:hAnsi="宋体" w:eastAsia="宋体" w:cs="宋体"/>
                <w:color w:val="auto"/>
                <w:sz w:val="24"/>
                <w:szCs w:val="24"/>
                <w:highlight w:val="none"/>
              </w:rPr>
            </w:pPr>
          </w:p>
        </w:tc>
        <w:tc>
          <w:tcPr>
            <w:tcW w:w="4097" w:type="dxa"/>
            <w:vAlign w:val="center"/>
          </w:tcPr>
          <w:p w14:paraId="3C602689">
            <w:pPr>
              <w:spacing w:line="320" w:lineRule="exact"/>
              <w:rPr>
                <w:rFonts w:hint="eastAsia" w:ascii="宋体" w:hAnsi="宋体" w:eastAsia="宋体" w:cs="宋体"/>
                <w:color w:val="auto"/>
                <w:sz w:val="24"/>
                <w:szCs w:val="24"/>
                <w:highlight w:val="none"/>
              </w:rPr>
            </w:pPr>
          </w:p>
        </w:tc>
      </w:tr>
      <w:tr w14:paraId="21FFE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170928F6">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技术规范</w:t>
            </w:r>
          </w:p>
        </w:tc>
        <w:tc>
          <w:tcPr>
            <w:tcW w:w="1412" w:type="dxa"/>
            <w:vAlign w:val="center"/>
          </w:tcPr>
          <w:p w14:paraId="6276DC98">
            <w:pPr>
              <w:spacing w:line="320" w:lineRule="exact"/>
              <w:rPr>
                <w:rFonts w:hint="eastAsia" w:ascii="宋体" w:hAnsi="宋体" w:eastAsia="宋体" w:cs="宋体"/>
                <w:color w:val="auto"/>
                <w:sz w:val="24"/>
                <w:szCs w:val="24"/>
                <w:highlight w:val="none"/>
              </w:rPr>
            </w:pPr>
          </w:p>
        </w:tc>
        <w:tc>
          <w:tcPr>
            <w:tcW w:w="4097" w:type="dxa"/>
            <w:vAlign w:val="center"/>
          </w:tcPr>
          <w:p w14:paraId="14ED0EC1">
            <w:pPr>
              <w:spacing w:line="320" w:lineRule="exact"/>
              <w:rPr>
                <w:rFonts w:hint="eastAsia" w:ascii="宋体" w:hAnsi="宋体" w:eastAsia="宋体" w:cs="宋体"/>
                <w:color w:val="auto"/>
                <w:sz w:val="24"/>
                <w:szCs w:val="24"/>
                <w:highlight w:val="none"/>
              </w:rPr>
            </w:pPr>
          </w:p>
        </w:tc>
      </w:tr>
      <w:tr w14:paraId="1F820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4DC42E2C">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 知识产权</w:t>
            </w:r>
          </w:p>
        </w:tc>
        <w:tc>
          <w:tcPr>
            <w:tcW w:w="1412" w:type="dxa"/>
            <w:vAlign w:val="center"/>
          </w:tcPr>
          <w:p w14:paraId="4A02B7BC">
            <w:pPr>
              <w:spacing w:line="320" w:lineRule="exact"/>
              <w:rPr>
                <w:rFonts w:hint="eastAsia" w:ascii="宋体" w:hAnsi="宋体" w:eastAsia="宋体" w:cs="宋体"/>
                <w:color w:val="auto"/>
                <w:sz w:val="24"/>
                <w:szCs w:val="24"/>
                <w:highlight w:val="none"/>
              </w:rPr>
            </w:pPr>
          </w:p>
        </w:tc>
        <w:tc>
          <w:tcPr>
            <w:tcW w:w="4097" w:type="dxa"/>
            <w:vAlign w:val="center"/>
          </w:tcPr>
          <w:p w14:paraId="48382BB2">
            <w:pPr>
              <w:spacing w:line="320" w:lineRule="exact"/>
              <w:rPr>
                <w:rFonts w:hint="eastAsia" w:ascii="宋体" w:hAnsi="宋体" w:eastAsia="宋体" w:cs="宋体"/>
                <w:color w:val="auto"/>
                <w:sz w:val="24"/>
                <w:szCs w:val="24"/>
                <w:highlight w:val="none"/>
              </w:rPr>
            </w:pPr>
          </w:p>
        </w:tc>
      </w:tr>
      <w:tr w14:paraId="5D0FC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3521D8AB">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 履约检查和问题反馈</w:t>
            </w:r>
          </w:p>
        </w:tc>
        <w:tc>
          <w:tcPr>
            <w:tcW w:w="1412" w:type="dxa"/>
            <w:vAlign w:val="center"/>
          </w:tcPr>
          <w:p w14:paraId="37E1B107">
            <w:pPr>
              <w:spacing w:line="320" w:lineRule="exact"/>
              <w:rPr>
                <w:rFonts w:hint="eastAsia" w:ascii="宋体" w:hAnsi="宋体" w:eastAsia="宋体" w:cs="宋体"/>
                <w:color w:val="auto"/>
                <w:sz w:val="24"/>
                <w:szCs w:val="24"/>
                <w:highlight w:val="none"/>
              </w:rPr>
            </w:pPr>
          </w:p>
        </w:tc>
        <w:tc>
          <w:tcPr>
            <w:tcW w:w="4097" w:type="dxa"/>
            <w:vAlign w:val="center"/>
          </w:tcPr>
          <w:p w14:paraId="2D50B629">
            <w:pPr>
              <w:spacing w:line="320" w:lineRule="exact"/>
              <w:rPr>
                <w:rFonts w:hint="eastAsia" w:ascii="宋体" w:hAnsi="宋体" w:eastAsia="宋体" w:cs="宋体"/>
                <w:color w:val="auto"/>
                <w:sz w:val="24"/>
                <w:szCs w:val="24"/>
                <w:highlight w:val="none"/>
              </w:rPr>
            </w:pPr>
          </w:p>
        </w:tc>
      </w:tr>
      <w:tr w14:paraId="77733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5255DA4A">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 技术资料和保密义务</w:t>
            </w:r>
          </w:p>
        </w:tc>
        <w:tc>
          <w:tcPr>
            <w:tcW w:w="1412" w:type="dxa"/>
            <w:vAlign w:val="center"/>
          </w:tcPr>
          <w:p w14:paraId="22256D13">
            <w:pPr>
              <w:spacing w:line="320" w:lineRule="exact"/>
              <w:rPr>
                <w:rFonts w:hint="eastAsia" w:ascii="宋体" w:hAnsi="宋体" w:eastAsia="宋体" w:cs="宋体"/>
                <w:color w:val="auto"/>
                <w:sz w:val="24"/>
                <w:szCs w:val="24"/>
                <w:highlight w:val="none"/>
              </w:rPr>
            </w:pPr>
          </w:p>
        </w:tc>
        <w:tc>
          <w:tcPr>
            <w:tcW w:w="4097" w:type="dxa"/>
            <w:vAlign w:val="center"/>
          </w:tcPr>
          <w:p w14:paraId="42009176">
            <w:pPr>
              <w:spacing w:line="320" w:lineRule="exact"/>
              <w:rPr>
                <w:rFonts w:hint="eastAsia" w:ascii="宋体" w:hAnsi="宋体" w:eastAsia="宋体" w:cs="宋体"/>
                <w:color w:val="auto"/>
                <w:sz w:val="24"/>
                <w:szCs w:val="24"/>
                <w:highlight w:val="none"/>
              </w:rPr>
            </w:pPr>
          </w:p>
        </w:tc>
      </w:tr>
      <w:tr w14:paraId="3064C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081A621B">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 质量保证</w:t>
            </w:r>
          </w:p>
        </w:tc>
        <w:tc>
          <w:tcPr>
            <w:tcW w:w="1412" w:type="dxa"/>
            <w:vAlign w:val="center"/>
          </w:tcPr>
          <w:p w14:paraId="2FA490CF">
            <w:pPr>
              <w:spacing w:line="320" w:lineRule="exact"/>
              <w:rPr>
                <w:rFonts w:hint="eastAsia" w:ascii="宋体" w:hAnsi="宋体" w:eastAsia="宋体" w:cs="宋体"/>
                <w:color w:val="auto"/>
                <w:sz w:val="24"/>
                <w:szCs w:val="24"/>
                <w:highlight w:val="none"/>
              </w:rPr>
            </w:pPr>
          </w:p>
        </w:tc>
        <w:tc>
          <w:tcPr>
            <w:tcW w:w="4097" w:type="dxa"/>
            <w:vAlign w:val="center"/>
          </w:tcPr>
          <w:p w14:paraId="4F567311">
            <w:pPr>
              <w:spacing w:line="320" w:lineRule="exact"/>
              <w:rPr>
                <w:rFonts w:hint="eastAsia" w:ascii="宋体" w:hAnsi="宋体" w:eastAsia="宋体" w:cs="宋体"/>
                <w:color w:val="auto"/>
                <w:sz w:val="24"/>
                <w:szCs w:val="24"/>
                <w:highlight w:val="none"/>
              </w:rPr>
            </w:pPr>
          </w:p>
        </w:tc>
      </w:tr>
      <w:tr w14:paraId="4DBB0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5043F7DD">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 延迟履行</w:t>
            </w:r>
          </w:p>
        </w:tc>
        <w:tc>
          <w:tcPr>
            <w:tcW w:w="1412" w:type="dxa"/>
            <w:vAlign w:val="center"/>
          </w:tcPr>
          <w:p w14:paraId="1553E834">
            <w:pPr>
              <w:spacing w:line="320" w:lineRule="exact"/>
              <w:rPr>
                <w:rFonts w:hint="eastAsia" w:ascii="宋体" w:hAnsi="宋体" w:eastAsia="宋体" w:cs="宋体"/>
                <w:color w:val="auto"/>
                <w:sz w:val="24"/>
                <w:szCs w:val="24"/>
                <w:highlight w:val="none"/>
              </w:rPr>
            </w:pPr>
          </w:p>
        </w:tc>
        <w:tc>
          <w:tcPr>
            <w:tcW w:w="4097" w:type="dxa"/>
            <w:vAlign w:val="center"/>
          </w:tcPr>
          <w:p w14:paraId="74C5F8CE">
            <w:pPr>
              <w:spacing w:line="320" w:lineRule="exact"/>
              <w:rPr>
                <w:rFonts w:hint="eastAsia" w:ascii="宋体" w:hAnsi="宋体" w:eastAsia="宋体" w:cs="宋体"/>
                <w:color w:val="auto"/>
                <w:sz w:val="24"/>
                <w:szCs w:val="24"/>
                <w:highlight w:val="none"/>
              </w:rPr>
            </w:pPr>
          </w:p>
        </w:tc>
      </w:tr>
      <w:tr w14:paraId="36A7E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5E21ACB1">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 合同变更</w:t>
            </w:r>
          </w:p>
        </w:tc>
        <w:tc>
          <w:tcPr>
            <w:tcW w:w="1412" w:type="dxa"/>
            <w:vAlign w:val="center"/>
          </w:tcPr>
          <w:p w14:paraId="5883DECD">
            <w:pPr>
              <w:spacing w:line="320" w:lineRule="exact"/>
              <w:rPr>
                <w:rFonts w:hint="eastAsia" w:ascii="宋体" w:hAnsi="宋体" w:eastAsia="宋体" w:cs="宋体"/>
                <w:color w:val="auto"/>
                <w:sz w:val="24"/>
                <w:szCs w:val="24"/>
                <w:highlight w:val="none"/>
              </w:rPr>
            </w:pPr>
          </w:p>
        </w:tc>
        <w:tc>
          <w:tcPr>
            <w:tcW w:w="4097" w:type="dxa"/>
            <w:vAlign w:val="center"/>
          </w:tcPr>
          <w:p w14:paraId="5ABC7532">
            <w:pPr>
              <w:spacing w:line="320" w:lineRule="exact"/>
              <w:rPr>
                <w:rFonts w:hint="eastAsia" w:ascii="宋体" w:hAnsi="宋体" w:eastAsia="宋体" w:cs="宋体"/>
                <w:color w:val="auto"/>
                <w:sz w:val="24"/>
                <w:szCs w:val="24"/>
                <w:highlight w:val="none"/>
              </w:rPr>
            </w:pPr>
          </w:p>
        </w:tc>
      </w:tr>
      <w:tr w14:paraId="4493C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67B1D3A7">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 合同转让和分包</w:t>
            </w:r>
          </w:p>
        </w:tc>
        <w:tc>
          <w:tcPr>
            <w:tcW w:w="1412" w:type="dxa"/>
            <w:vAlign w:val="center"/>
          </w:tcPr>
          <w:p w14:paraId="525642D1">
            <w:pPr>
              <w:spacing w:line="320" w:lineRule="exact"/>
              <w:rPr>
                <w:rFonts w:hint="eastAsia" w:ascii="宋体" w:hAnsi="宋体" w:eastAsia="宋体" w:cs="宋体"/>
                <w:color w:val="auto"/>
                <w:sz w:val="24"/>
                <w:szCs w:val="24"/>
                <w:highlight w:val="none"/>
              </w:rPr>
            </w:pPr>
          </w:p>
        </w:tc>
        <w:tc>
          <w:tcPr>
            <w:tcW w:w="4097" w:type="dxa"/>
            <w:vAlign w:val="center"/>
          </w:tcPr>
          <w:p w14:paraId="59BE3C02">
            <w:pPr>
              <w:spacing w:line="320" w:lineRule="exact"/>
              <w:rPr>
                <w:rFonts w:hint="eastAsia" w:ascii="宋体" w:hAnsi="宋体" w:eastAsia="宋体" w:cs="宋体"/>
                <w:color w:val="auto"/>
                <w:sz w:val="24"/>
                <w:szCs w:val="24"/>
                <w:highlight w:val="none"/>
              </w:rPr>
            </w:pPr>
          </w:p>
        </w:tc>
      </w:tr>
      <w:tr w14:paraId="7412A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316B2935">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2.10 不可抗力</w:t>
            </w:r>
          </w:p>
        </w:tc>
        <w:tc>
          <w:tcPr>
            <w:tcW w:w="1412" w:type="dxa"/>
            <w:vAlign w:val="center"/>
          </w:tcPr>
          <w:p w14:paraId="3AAD9413">
            <w:pPr>
              <w:spacing w:line="320" w:lineRule="exact"/>
              <w:rPr>
                <w:rFonts w:hint="eastAsia" w:ascii="宋体" w:hAnsi="宋体" w:eastAsia="宋体" w:cs="宋体"/>
                <w:color w:val="auto"/>
                <w:sz w:val="24"/>
                <w:szCs w:val="24"/>
                <w:highlight w:val="none"/>
              </w:rPr>
            </w:pPr>
          </w:p>
        </w:tc>
        <w:tc>
          <w:tcPr>
            <w:tcW w:w="4097" w:type="dxa"/>
            <w:vAlign w:val="center"/>
          </w:tcPr>
          <w:p w14:paraId="37C00DE6">
            <w:pPr>
              <w:spacing w:line="320" w:lineRule="exact"/>
              <w:rPr>
                <w:rFonts w:hint="eastAsia" w:ascii="宋体" w:hAnsi="宋体" w:eastAsia="宋体" w:cs="宋体"/>
                <w:color w:val="auto"/>
                <w:sz w:val="24"/>
                <w:szCs w:val="24"/>
                <w:highlight w:val="none"/>
              </w:rPr>
            </w:pPr>
          </w:p>
        </w:tc>
      </w:tr>
      <w:tr w14:paraId="21094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66FBCF26">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 税费</w:t>
            </w:r>
          </w:p>
        </w:tc>
        <w:tc>
          <w:tcPr>
            <w:tcW w:w="1412" w:type="dxa"/>
            <w:vAlign w:val="center"/>
          </w:tcPr>
          <w:p w14:paraId="36880988">
            <w:pPr>
              <w:spacing w:line="320" w:lineRule="exact"/>
              <w:rPr>
                <w:rFonts w:hint="eastAsia" w:ascii="宋体" w:hAnsi="宋体" w:eastAsia="宋体" w:cs="宋体"/>
                <w:color w:val="auto"/>
                <w:sz w:val="24"/>
                <w:szCs w:val="24"/>
                <w:highlight w:val="none"/>
              </w:rPr>
            </w:pPr>
          </w:p>
        </w:tc>
        <w:tc>
          <w:tcPr>
            <w:tcW w:w="4097" w:type="dxa"/>
            <w:vAlign w:val="center"/>
          </w:tcPr>
          <w:p w14:paraId="32BD6BA1">
            <w:pPr>
              <w:spacing w:line="320" w:lineRule="exact"/>
              <w:rPr>
                <w:rFonts w:hint="eastAsia" w:ascii="宋体" w:hAnsi="宋体" w:eastAsia="宋体" w:cs="宋体"/>
                <w:color w:val="auto"/>
                <w:sz w:val="24"/>
                <w:szCs w:val="24"/>
                <w:highlight w:val="none"/>
              </w:rPr>
            </w:pPr>
          </w:p>
        </w:tc>
      </w:tr>
      <w:tr w14:paraId="03939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68529C57">
            <w:pPr>
              <w:spacing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2.12 乙方破产</w:t>
            </w:r>
            <w:r>
              <w:rPr>
                <w:rFonts w:hint="eastAsia" w:ascii="宋体" w:hAnsi="宋体" w:eastAsia="宋体" w:cs="宋体"/>
                <w:color w:val="auto"/>
                <w:sz w:val="24"/>
                <w:szCs w:val="24"/>
                <w:highlight w:val="none"/>
                <w:lang w:val="en-US" w:eastAsia="zh-CN"/>
              </w:rPr>
              <w:t>及</w:t>
            </w:r>
            <w:r>
              <w:rPr>
                <w:rFonts w:hint="eastAsia" w:ascii="宋体" w:hAnsi="宋体" w:eastAsia="宋体" w:cs="宋体"/>
                <w:color w:val="auto"/>
                <w:sz w:val="24"/>
                <w:szCs w:val="24"/>
                <w:highlight w:val="none"/>
              </w:rPr>
              <w:t>合同中止、终止</w:t>
            </w:r>
          </w:p>
        </w:tc>
        <w:tc>
          <w:tcPr>
            <w:tcW w:w="1412" w:type="dxa"/>
            <w:vAlign w:val="center"/>
          </w:tcPr>
          <w:p w14:paraId="733D6693">
            <w:pPr>
              <w:spacing w:line="320" w:lineRule="exact"/>
              <w:rPr>
                <w:rFonts w:hint="eastAsia" w:ascii="宋体" w:hAnsi="宋体" w:eastAsia="宋体" w:cs="宋体"/>
                <w:color w:val="auto"/>
                <w:sz w:val="24"/>
                <w:szCs w:val="24"/>
                <w:highlight w:val="none"/>
              </w:rPr>
            </w:pPr>
          </w:p>
        </w:tc>
        <w:tc>
          <w:tcPr>
            <w:tcW w:w="4097" w:type="dxa"/>
            <w:vAlign w:val="center"/>
          </w:tcPr>
          <w:p w14:paraId="0EDE1676">
            <w:pPr>
              <w:spacing w:line="320" w:lineRule="exact"/>
              <w:rPr>
                <w:rFonts w:hint="eastAsia" w:ascii="宋体" w:hAnsi="宋体" w:eastAsia="宋体" w:cs="宋体"/>
                <w:color w:val="auto"/>
                <w:sz w:val="24"/>
                <w:szCs w:val="24"/>
                <w:highlight w:val="none"/>
              </w:rPr>
            </w:pPr>
          </w:p>
        </w:tc>
      </w:tr>
      <w:tr w14:paraId="6DEB0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6C244407">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2.13 通知和送达</w:t>
            </w:r>
          </w:p>
        </w:tc>
        <w:tc>
          <w:tcPr>
            <w:tcW w:w="1412" w:type="dxa"/>
            <w:vAlign w:val="center"/>
          </w:tcPr>
          <w:p w14:paraId="512788E0">
            <w:pPr>
              <w:spacing w:line="320" w:lineRule="exact"/>
              <w:rPr>
                <w:rFonts w:hint="eastAsia" w:ascii="宋体" w:hAnsi="宋体" w:eastAsia="宋体" w:cs="宋体"/>
                <w:color w:val="auto"/>
                <w:sz w:val="24"/>
                <w:szCs w:val="24"/>
                <w:highlight w:val="none"/>
              </w:rPr>
            </w:pPr>
          </w:p>
        </w:tc>
        <w:tc>
          <w:tcPr>
            <w:tcW w:w="4097" w:type="dxa"/>
            <w:vAlign w:val="center"/>
          </w:tcPr>
          <w:p w14:paraId="07B1DCF7">
            <w:pPr>
              <w:spacing w:line="320" w:lineRule="exact"/>
              <w:rPr>
                <w:rFonts w:hint="eastAsia" w:ascii="宋体" w:hAnsi="宋体" w:eastAsia="宋体" w:cs="宋体"/>
                <w:color w:val="auto"/>
                <w:sz w:val="24"/>
                <w:szCs w:val="24"/>
                <w:highlight w:val="none"/>
              </w:rPr>
            </w:pPr>
          </w:p>
        </w:tc>
      </w:tr>
      <w:tr w14:paraId="1587D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3F5AF0CE">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2.14 合同使用的文字和适用的法律</w:t>
            </w:r>
          </w:p>
        </w:tc>
        <w:tc>
          <w:tcPr>
            <w:tcW w:w="1412" w:type="dxa"/>
            <w:vAlign w:val="center"/>
          </w:tcPr>
          <w:p w14:paraId="37E0B637">
            <w:pPr>
              <w:spacing w:line="320" w:lineRule="exact"/>
              <w:rPr>
                <w:rFonts w:hint="eastAsia" w:ascii="宋体" w:hAnsi="宋体" w:eastAsia="宋体" w:cs="宋体"/>
                <w:color w:val="auto"/>
                <w:sz w:val="24"/>
                <w:szCs w:val="24"/>
                <w:highlight w:val="none"/>
              </w:rPr>
            </w:pPr>
          </w:p>
        </w:tc>
        <w:tc>
          <w:tcPr>
            <w:tcW w:w="4097" w:type="dxa"/>
            <w:vAlign w:val="center"/>
          </w:tcPr>
          <w:p w14:paraId="548A3213">
            <w:pPr>
              <w:spacing w:line="320" w:lineRule="exact"/>
              <w:rPr>
                <w:rFonts w:hint="eastAsia" w:ascii="宋体" w:hAnsi="宋体" w:eastAsia="宋体" w:cs="宋体"/>
                <w:color w:val="auto"/>
                <w:sz w:val="24"/>
                <w:szCs w:val="24"/>
                <w:highlight w:val="none"/>
              </w:rPr>
            </w:pPr>
          </w:p>
        </w:tc>
      </w:tr>
      <w:tr w14:paraId="33FFD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4B57BF9B">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2.15 履约保证金</w:t>
            </w:r>
          </w:p>
        </w:tc>
        <w:tc>
          <w:tcPr>
            <w:tcW w:w="1412" w:type="dxa"/>
            <w:vAlign w:val="center"/>
          </w:tcPr>
          <w:p w14:paraId="72563504">
            <w:pPr>
              <w:spacing w:line="320" w:lineRule="exact"/>
              <w:rPr>
                <w:rFonts w:hint="eastAsia" w:ascii="宋体" w:hAnsi="宋体" w:eastAsia="宋体" w:cs="宋体"/>
                <w:color w:val="auto"/>
                <w:sz w:val="24"/>
                <w:szCs w:val="24"/>
                <w:highlight w:val="none"/>
              </w:rPr>
            </w:pPr>
          </w:p>
        </w:tc>
        <w:tc>
          <w:tcPr>
            <w:tcW w:w="4097" w:type="dxa"/>
            <w:vAlign w:val="center"/>
          </w:tcPr>
          <w:p w14:paraId="5678FFEE">
            <w:pPr>
              <w:spacing w:line="320" w:lineRule="exact"/>
              <w:rPr>
                <w:rFonts w:hint="eastAsia" w:ascii="宋体" w:hAnsi="宋体" w:eastAsia="宋体" w:cs="宋体"/>
                <w:color w:val="auto"/>
                <w:sz w:val="24"/>
                <w:szCs w:val="24"/>
                <w:highlight w:val="none"/>
              </w:rPr>
            </w:pPr>
          </w:p>
        </w:tc>
      </w:tr>
    </w:tbl>
    <w:p w14:paraId="6A8B5BE5">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注：1、投标人应据实、详细填写上述表格，因表述含糊导致的评标风险将由投标人承担。</w:t>
      </w:r>
    </w:p>
    <w:p w14:paraId="494327B6">
      <w:pPr>
        <w:spacing w:line="480" w:lineRule="exact"/>
        <w:ind w:firstLine="480" w:firstLineChars="200"/>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2、若无偏离，在“有无偏离”栏中填写“无”；若有偏离在“有无偏离”栏中填写“有”并在“偏离内容及原因”栏中作出说明。</w:t>
      </w:r>
    </w:p>
    <w:p w14:paraId="0C6233A7">
      <w:pPr>
        <w:spacing w:line="48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3、投标人如不能满足本项目的付款方式，将作无效投标处理。</w:t>
      </w:r>
    </w:p>
    <w:p w14:paraId="1958B5DD">
      <w:pPr>
        <w:rPr>
          <w:rFonts w:hint="eastAsia" w:ascii="宋体" w:hAnsi="宋体" w:eastAsia="宋体" w:cs="宋体"/>
          <w:color w:val="auto"/>
          <w:highlight w:val="none"/>
        </w:rPr>
      </w:pPr>
      <w:bookmarkStart w:id="328" w:name="_Toc42157468"/>
      <w:bookmarkStart w:id="329" w:name="_Toc31580"/>
      <w:r>
        <w:rPr>
          <w:rFonts w:hint="eastAsia" w:ascii="宋体" w:hAnsi="宋体" w:eastAsia="宋体" w:cs="宋体"/>
          <w:color w:val="auto"/>
          <w:highlight w:val="none"/>
        </w:rPr>
        <w:br w:type="page"/>
      </w:r>
    </w:p>
    <w:p w14:paraId="374B5650">
      <w:pPr>
        <w:pStyle w:val="3"/>
        <w:keepNext w:val="0"/>
        <w:pageBreakBefore/>
        <w:rPr>
          <w:rFonts w:hint="eastAsia" w:ascii="宋体" w:hAnsi="宋体" w:eastAsia="宋体" w:cs="宋体"/>
          <w:color w:val="auto"/>
          <w:highlight w:val="none"/>
          <w:lang w:val="en-US" w:eastAsia="zh-CN"/>
        </w:rPr>
      </w:pPr>
      <w:bookmarkStart w:id="330" w:name="_Toc26788"/>
      <w:bookmarkStart w:id="331" w:name="_Toc5065"/>
      <w:r>
        <w:rPr>
          <w:rFonts w:hint="eastAsia" w:ascii="宋体" w:hAnsi="宋体" w:eastAsia="宋体" w:cs="宋体"/>
          <w:color w:val="auto"/>
          <w:highlight w:val="none"/>
        </w:rPr>
        <w:t>附件1</w:t>
      </w:r>
      <w:r>
        <w:rPr>
          <w:rFonts w:hint="eastAsia" w:ascii="宋体" w:hAnsi="宋体" w:eastAsia="宋体" w:cs="宋体"/>
          <w:color w:val="auto"/>
          <w:highlight w:val="none"/>
          <w:lang w:val="en-US" w:eastAsia="zh-CN"/>
        </w:rPr>
        <w:t>5供应商与其他单位存在直接控股、管理关系情况表</w:t>
      </w:r>
      <w:bookmarkEnd w:id="330"/>
      <w:bookmarkEnd w:id="331"/>
    </w:p>
    <w:p w14:paraId="3748B477">
      <w:pPr>
        <w:rPr>
          <w:rFonts w:hint="eastAsia" w:ascii="宋体" w:hAnsi="宋体" w:eastAsia="宋体" w:cs="宋体"/>
          <w:color w:val="auto"/>
          <w:highlight w:val="none"/>
          <w:lang w:val="en-US" w:eastAsia="zh-CN"/>
        </w:rPr>
      </w:pPr>
    </w:p>
    <w:p w14:paraId="2AA9BE3A">
      <w:pPr>
        <w:ind w:firstLine="420"/>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单位名称：</w:t>
      </w:r>
    </w:p>
    <w:tbl>
      <w:tblPr>
        <w:tblStyle w:val="54"/>
        <w:tblW w:w="106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30"/>
        <w:gridCol w:w="1704"/>
        <w:gridCol w:w="1506"/>
        <w:gridCol w:w="1580"/>
        <w:gridCol w:w="1440"/>
        <w:gridCol w:w="1711"/>
        <w:gridCol w:w="1268"/>
      </w:tblGrid>
      <w:tr w14:paraId="449ADC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6" w:hRule="atLeast"/>
          <w:jc w:val="center"/>
        </w:trPr>
        <w:tc>
          <w:tcPr>
            <w:tcW w:w="6220" w:type="dxa"/>
            <w:gridSpan w:val="4"/>
            <w:noWrap w:val="0"/>
            <w:vAlign w:val="center"/>
          </w:tcPr>
          <w:p w14:paraId="2D446BFA">
            <w:pPr>
              <w:widowControl/>
              <w:jc w:val="cente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与</w:t>
            </w:r>
            <w:r>
              <w:rPr>
                <w:rFonts w:hint="eastAsia" w:ascii="宋体" w:hAnsi="宋体" w:eastAsia="宋体" w:cs="宋体"/>
                <w:b/>
                <w:color w:val="auto"/>
                <w:sz w:val="24"/>
                <w:szCs w:val="24"/>
                <w:highlight w:val="none"/>
                <w:shd w:val="clear" w:color="auto" w:fill="FFFFFF"/>
                <w:lang w:val="en-US" w:eastAsia="zh-CN"/>
              </w:rPr>
              <w:t>供应商</w:t>
            </w:r>
            <w:r>
              <w:rPr>
                <w:rFonts w:hint="eastAsia" w:ascii="宋体" w:hAnsi="宋体" w:eastAsia="宋体" w:cs="宋体"/>
                <w:b/>
                <w:color w:val="auto"/>
                <w:sz w:val="24"/>
                <w:szCs w:val="24"/>
                <w:highlight w:val="none"/>
                <w:shd w:val="clear" w:color="auto" w:fill="FFFFFF"/>
              </w:rPr>
              <w:t>存在直接股权关系</w:t>
            </w:r>
          </w:p>
        </w:tc>
        <w:tc>
          <w:tcPr>
            <w:tcW w:w="4419" w:type="dxa"/>
            <w:gridSpan w:val="3"/>
            <w:noWrap w:val="0"/>
            <w:vAlign w:val="center"/>
          </w:tcPr>
          <w:p w14:paraId="30AE71AE">
            <w:pPr>
              <w:widowControl/>
              <w:jc w:val="cente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与</w:t>
            </w:r>
            <w:r>
              <w:rPr>
                <w:rFonts w:hint="eastAsia" w:ascii="宋体" w:hAnsi="宋体" w:eastAsia="宋体" w:cs="宋体"/>
                <w:b/>
                <w:color w:val="auto"/>
                <w:sz w:val="24"/>
                <w:szCs w:val="24"/>
                <w:highlight w:val="none"/>
                <w:shd w:val="clear" w:color="auto" w:fill="FFFFFF"/>
                <w:lang w:val="en-US" w:eastAsia="zh-CN"/>
              </w:rPr>
              <w:t>供应商</w:t>
            </w:r>
            <w:r>
              <w:rPr>
                <w:rFonts w:hint="eastAsia" w:ascii="宋体" w:hAnsi="宋体" w:eastAsia="宋体" w:cs="宋体"/>
                <w:b/>
                <w:color w:val="auto"/>
                <w:sz w:val="24"/>
                <w:szCs w:val="24"/>
                <w:highlight w:val="none"/>
                <w:shd w:val="clear" w:color="auto" w:fill="FFFFFF"/>
              </w:rPr>
              <w:t>存在直接管理关系</w:t>
            </w:r>
          </w:p>
        </w:tc>
      </w:tr>
      <w:tr w14:paraId="59EEFE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8" w:hRule="atLeast"/>
          <w:jc w:val="center"/>
        </w:trPr>
        <w:tc>
          <w:tcPr>
            <w:tcW w:w="1430" w:type="dxa"/>
            <w:noWrap w:val="0"/>
            <w:vAlign w:val="center"/>
          </w:tcPr>
          <w:p w14:paraId="1DEC8DB6">
            <w:pPr>
              <w:widowControl/>
              <w:jc w:val="cente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单位名称</w:t>
            </w:r>
          </w:p>
        </w:tc>
        <w:tc>
          <w:tcPr>
            <w:tcW w:w="1704" w:type="dxa"/>
            <w:noWrap w:val="0"/>
            <w:vAlign w:val="center"/>
          </w:tcPr>
          <w:p w14:paraId="6C56DB34">
            <w:pPr>
              <w:widowControl/>
              <w:jc w:val="cente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是否为大型企业</w:t>
            </w:r>
          </w:p>
          <w:p w14:paraId="7EF7504B">
            <w:pPr>
              <w:widowControl/>
              <w:jc w:val="cente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（填写“是”或 “否”）</w:t>
            </w:r>
          </w:p>
        </w:tc>
        <w:tc>
          <w:tcPr>
            <w:tcW w:w="1506" w:type="dxa"/>
            <w:noWrap w:val="0"/>
          </w:tcPr>
          <w:p w14:paraId="4FCF5D62">
            <w:pPr>
              <w:widowControl/>
              <w:jc w:val="cente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是否直接控股</w:t>
            </w:r>
          </w:p>
          <w:p w14:paraId="6E435137">
            <w:pPr>
              <w:widowControl/>
              <w:jc w:val="cente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（填写“是”或 “否”）</w:t>
            </w:r>
          </w:p>
        </w:tc>
        <w:tc>
          <w:tcPr>
            <w:tcW w:w="1580" w:type="dxa"/>
            <w:noWrap w:val="0"/>
            <w:vAlign w:val="center"/>
          </w:tcPr>
          <w:p w14:paraId="322E5EC1">
            <w:pPr>
              <w:widowControl/>
              <w:jc w:val="cente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直接控股关系情况说明（持股比例等）</w:t>
            </w:r>
          </w:p>
        </w:tc>
        <w:tc>
          <w:tcPr>
            <w:tcW w:w="1440" w:type="dxa"/>
            <w:noWrap w:val="0"/>
            <w:vAlign w:val="center"/>
          </w:tcPr>
          <w:p w14:paraId="1E8878D5">
            <w:pPr>
              <w:widowControl/>
              <w:jc w:val="cente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单位名称</w:t>
            </w:r>
          </w:p>
        </w:tc>
        <w:tc>
          <w:tcPr>
            <w:tcW w:w="1711" w:type="dxa"/>
            <w:noWrap w:val="0"/>
            <w:vAlign w:val="center"/>
          </w:tcPr>
          <w:p w14:paraId="64F32925">
            <w:pPr>
              <w:widowControl/>
              <w:jc w:val="cente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是否为大型企业</w:t>
            </w:r>
          </w:p>
          <w:p w14:paraId="3A51B106">
            <w:pPr>
              <w:widowControl/>
              <w:jc w:val="cente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（填写“是”或 “否”）</w:t>
            </w:r>
          </w:p>
        </w:tc>
        <w:tc>
          <w:tcPr>
            <w:tcW w:w="1268" w:type="dxa"/>
            <w:noWrap w:val="0"/>
            <w:vAlign w:val="center"/>
          </w:tcPr>
          <w:p w14:paraId="3DD790F9">
            <w:pPr>
              <w:widowControl/>
              <w:jc w:val="cente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直接管理关系情况说明</w:t>
            </w:r>
          </w:p>
        </w:tc>
      </w:tr>
      <w:tr w14:paraId="153D9F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jc w:val="center"/>
        </w:trPr>
        <w:tc>
          <w:tcPr>
            <w:tcW w:w="1430" w:type="dxa"/>
            <w:noWrap w:val="0"/>
            <w:vAlign w:val="center"/>
          </w:tcPr>
          <w:p w14:paraId="0A60D955">
            <w:pPr>
              <w:widowControl/>
              <w:jc w:val="center"/>
              <w:rPr>
                <w:rFonts w:hint="eastAsia" w:ascii="宋体" w:hAnsi="宋体" w:eastAsia="宋体" w:cs="宋体"/>
                <w:b/>
                <w:color w:val="auto"/>
                <w:sz w:val="24"/>
                <w:szCs w:val="24"/>
                <w:highlight w:val="none"/>
                <w:shd w:val="clear" w:color="auto" w:fill="FFFFFF"/>
              </w:rPr>
            </w:pPr>
          </w:p>
        </w:tc>
        <w:tc>
          <w:tcPr>
            <w:tcW w:w="1704" w:type="dxa"/>
            <w:noWrap w:val="0"/>
            <w:vAlign w:val="center"/>
          </w:tcPr>
          <w:p w14:paraId="12C1F67F">
            <w:pPr>
              <w:widowControl/>
              <w:jc w:val="center"/>
              <w:rPr>
                <w:rFonts w:hint="eastAsia" w:ascii="宋体" w:hAnsi="宋体" w:eastAsia="宋体" w:cs="宋体"/>
                <w:b/>
                <w:color w:val="auto"/>
                <w:sz w:val="24"/>
                <w:szCs w:val="24"/>
                <w:highlight w:val="none"/>
                <w:shd w:val="clear" w:color="auto" w:fill="FFFFFF"/>
              </w:rPr>
            </w:pPr>
          </w:p>
        </w:tc>
        <w:tc>
          <w:tcPr>
            <w:tcW w:w="1506" w:type="dxa"/>
            <w:noWrap w:val="0"/>
            <w:vAlign w:val="center"/>
          </w:tcPr>
          <w:p w14:paraId="1422547A">
            <w:pPr>
              <w:widowControl/>
              <w:jc w:val="center"/>
              <w:rPr>
                <w:rFonts w:hint="eastAsia" w:ascii="宋体" w:hAnsi="宋体" w:eastAsia="宋体" w:cs="宋体"/>
                <w:b/>
                <w:color w:val="auto"/>
                <w:sz w:val="24"/>
                <w:szCs w:val="24"/>
                <w:highlight w:val="none"/>
                <w:shd w:val="clear" w:color="auto" w:fill="FFFFFF"/>
              </w:rPr>
            </w:pPr>
          </w:p>
        </w:tc>
        <w:tc>
          <w:tcPr>
            <w:tcW w:w="1580" w:type="dxa"/>
            <w:noWrap w:val="0"/>
            <w:vAlign w:val="center"/>
          </w:tcPr>
          <w:p w14:paraId="135892B9">
            <w:pPr>
              <w:widowControl/>
              <w:jc w:val="center"/>
              <w:rPr>
                <w:rFonts w:hint="eastAsia" w:ascii="宋体" w:hAnsi="宋体" w:eastAsia="宋体" w:cs="宋体"/>
                <w:b/>
                <w:color w:val="auto"/>
                <w:sz w:val="24"/>
                <w:szCs w:val="24"/>
                <w:highlight w:val="none"/>
                <w:shd w:val="clear" w:color="auto" w:fill="FFFFFF"/>
              </w:rPr>
            </w:pPr>
          </w:p>
        </w:tc>
        <w:tc>
          <w:tcPr>
            <w:tcW w:w="1440" w:type="dxa"/>
            <w:noWrap w:val="0"/>
            <w:vAlign w:val="center"/>
          </w:tcPr>
          <w:p w14:paraId="4D349CBA">
            <w:pPr>
              <w:widowControl/>
              <w:jc w:val="center"/>
              <w:rPr>
                <w:rFonts w:hint="eastAsia" w:ascii="宋体" w:hAnsi="宋体" w:eastAsia="宋体" w:cs="宋体"/>
                <w:b/>
                <w:color w:val="auto"/>
                <w:sz w:val="24"/>
                <w:szCs w:val="24"/>
                <w:highlight w:val="none"/>
                <w:shd w:val="clear" w:color="auto" w:fill="FFFFFF"/>
              </w:rPr>
            </w:pPr>
          </w:p>
        </w:tc>
        <w:tc>
          <w:tcPr>
            <w:tcW w:w="1711" w:type="dxa"/>
            <w:noWrap w:val="0"/>
            <w:vAlign w:val="center"/>
          </w:tcPr>
          <w:p w14:paraId="07A00A92">
            <w:pPr>
              <w:widowControl/>
              <w:jc w:val="center"/>
              <w:rPr>
                <w:rFonts w:hint="eastAsia" w:ascii="宋体" w:hAnsi="宋体" w:eastAsia="宋体" w:cs="宋体"/>
                <w:b/>
                <w:color w:val="auto"/>
                <w:sz w:val="24"/>
                <w:szCs w:val="24"/>
                <w:highlight w:val="none"/>
                <w:shd w:val="clear" w:color="auto" w:fill="FFFFFF"/>
              </w:rPr>
            </w:pPr>
          </w:p>
        </w:tc>
        <w:tc>
          <w:tcPr>
            <w:tcW w:w="1268" w:type="dxa"/>
            <w:noWrap w:val="0"/>
            <w:vAlign w:val="center"/>
          </w:tcPr>
          <w:p w14:paraId="2B077A88">
            <w:pPr>
              <w:widowControl/>
              <w:jc w:val="center"/>
              <w:rPr>
                <w:rFonts w:hint="eastAsia" w:ascii="宋体" w:hAnsi="宋体" w:eastAsia="宋体" w:cs="宋体"/>
                <w:b/>
                <w:color w:val="auto"/>
                <w:sz w:val="24"/>
                <w:szCs w:val="24"/>
                <w:highlight w:val="none"/>
                <w:shd w:val="clear" w:color="auto" w:fill="FFFFFF"/>
              </w:rPr>
            </w:pPr>
          </w:p>
        </w:tc>
      </w:tr>
      <w:tr w14:paraId="4AD021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jc w:val="center"/>
        </w:trPr>
        <w:tc>
          <w:tcPr>
            <w:tcW w:w="1430" w:type="dxa"/>
            <w:noWrap w:val="0"/>
            <w:vAlign w:val="center"/>
          </w:tcPr>
          <w:p w14:paraId="56CB8BDA">
            <w:pPr>
              <w:widowControl/>
              <w:jc w:val="center"/>
              <w:rPr>
                <w:rFonts w:hint="eastAsia" w:ascii="宋体" w:hAnsi="宋体" w:eastAsia="宋体" w:cs="宋体"/>
                <w:b/>
                <w:color w:val="auto"/>
                <w:sz w:val="24"/>
                <w:szCs w:val="24"/>
                <w:highlight w:val="none"/>
                <w:shd w:val="clear" w:color="auto" w:fill="FFFFFF"/>
              </w:rPr>
            </w:pPr>
          </w:p>
        </w:tc>
        <w:tc>
          <w:tcPr>
            <w:tcW w:w="1704" w:type="dxa"/>
            <w:noWrap w:val="0"/>
            <w:vAlign w:val="center"/>
          </w:tcPr>
          <w:p w14:paraId="57466C2A">
            <w:pPr>
              <w:widowControl/>
              <w:jc w:val="center"/>
              <w:rPr>
                <w:rFonts w:hint="eastAsia" w:ascii="宋体" w:hAnsi="宋体" w:eastAsia="宋体" w:cs="宋体"/>
                <w:b/>
                <w:color w:val="auto"/>
                <w:sz w:val="24"/>
                <w:szCs w:val="24"/>
                <w:highlight w:val="none"/>
                <w:shd w:val="clear" w:color="auto" w:fill="FFFFFF"/>
              </w:rPr>
            </w:pPr>
          </w:p>
        </w:tc>
        <w:tc>
          <w:tcPr>
            <w:tcW w:w="1506" w:type="dxa"/>
            <w:noWrap w:val="0"/>
            <w:vAlign w:val="center"/>
          </w:tcPr>
          <w:p w14:paraId="6C4807CA">
            <w:pPr>
              <w:widowControl/>
              <w:jc w:val="center"/>
              <w:rPr>
                <w:rFonts w:hint="eastAsia" w:ascii="宋体" w:hAnsi="宋体" w:eastAsia="宋体" w:cs="宋体"/>
                <w:b/>
                <w:color w:val="auto"/>
                <w:sz w:val="24"/>
                <w:szCs w:val="24"/>
                <w:highlight w:val="none"/>
                <w:shd w:val="clear" w:color="auto" w:fill="FFFFFF"/>
              </w:rPr>
            </w:pPr>
          </w:p>
        </w:tc>
        <w:tc>
          <w:tcPr>
            <w:tcW w:w="1580" w:type="dxa"/>
            <w:noWrap w:val="0"/>
            <w:vAlign w:val="center"/>
          </w:tcPr>
          <w:p w14:paraId="70CFFC09">
            <w:pPr>
              <w:widowControl/>
              <w:jc w:val="center"/>
              <w:rPr>
                <w:rFonts w:hint="eastAsia" w:ascii="宋体" w:hAnsi="宋体" w:eastAsia="宋体" w:cs="宋体"/>
                <w:b/>
                <w:color w:val="auto"/>
                <w:sz w:val="24"/>
                <w:szCs w:val="24"/>
                <w:highlight w:val="none"/>
                <w:shd w:val="clear" w:color="auto" w:fill="FFFFFF"/>
              </w:rPr>
            </w:pPr>
          </w:p>
        </w:tc>
        <w:tc>
          <w:tcPr>
            <w:tcW w:w="1440" w:type="dxa"/>
            <w:noWrap w:val="0"/>
            <w:vAlign w:val="center"/>
          </w:tcPr>
          <w:p w14:paraId="68EBD95E">
            <w:pPr>
              <w:widowControl/>
              <w:jc w:val="center"/>
              <w:rPr>
                <w:rFonts w:hint="eastAsia" w:ascii="宋体" w:hAnsi="宋体" w:eastAsia="宋体" w:cs="宋体"/>
                <w:b/>
                <w:color w:val="auto"/>
                <w:sz w:val="24"/>
                <w:szCs w:val="24"/>
                <w:highlight w:val="none"/>
                <w:shd w:val="clear" w:color="auto" w:fill="FFFFFF"/>
              </w:rPr>
            </w:pPr>
          </w:p>
        </w:tc>
        <w:tc>
          <w:tcPr>
            <w:tcW w:w="1711" w:type="dxa"/>
            <w:noWrap w:val="0"/>
            <w:vAlign w:val="center"/>
          </w:tcPr>
          <w:p w14:paraId="0459ECEC">
            <w:pPr>
              <w:widowControl/>
              <w:jc w:val="center"/>
              <w:rPr>
                <w:rFonts w:hint="eastAsia" w:ascii="宋体" w:hAnsi="宋体" w:eastAsia="宋体" w:cs="宋体"/>
                <w:b/>
                <w:color w:val="auto"/>
                <w:sz w:val="24"/>
                <w:szCs w:val="24"/>
                <w:highlight w:val="none"/>
                <w:shd w:val="clear" w:color="auto" w:fill="FFFFFF"/>
              </w:rPr>
            </w:pPr>
          </w:p>
        </w:tc>
        <w:tc>
          <w:tcPr>
            <w:tcW w:w="1268" w:type="dxa"/>
            <w:noWrap w:val="0"/>
            <w:vAlign w:val="center"/>
          </w:tcPr>
          <w:p w14:paraId="748D13B6">
            <w:pPr>
              <w:widowControl/>
              <w:jc w:val="center"/>
              <w:rPr>
                <w:rFonts w:hint="eastAsia" w:ascii="宋体" w:hAnsi="宋体" w:eastAsia="宋体" w:cs="宋体"/>
                <w:b/>
                <w:color w:val="auto"/>
                <w:sz w:val="24"/>
                <w:szCs w:val="24"/>
                <w:highlight w:val="none"/>
                <w:shd w:val="clear" w:color="auto" w:fill="FFFFFF"/>
              </w:rPr>
            </w:pPr>
          </w:p>
        </w:tc>
      </w:tr>
      <w:tr w14:paraId="413CF2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jc w:val="center"/>
        </w:trPr>
        <w:tc>
          <w:tcPr>
            <w:tcW w:w="1430" w:type="dxa"/>
            <w:noWrap w:val="0"/>
            <w:vAlign w:val="center"/>
          </w:tcPr>
          <w:p w14:paraId="67000081">
            <w:pPr>
              <w:widowControl/>
              <w:jc w:val="center"/>
              <w:rPr>
                <w:rFonts w:hint="eastAsia" w:ascii="宋体" w:hAnsi="宋体" w:eastAsia="宋体" w:cs="宋体"/>
                <w:b/>
                <w:color w:val="auto"/>
                <w:sz w:val="24"/>
                <w:szCs w:val="24"/>
                <w:highlight w:val="none"/>
                <w:shd w:val="clear" w:color="auto" w:fill="FFFFFF"/>
              </w:rPr>
            </w:pPr>
          </w:p>
        </w:tc>
        <w:tc>
          <w:tcPr>
            <w:tcW w:w="1704" w:type="dxa"/>
            <w:noWrap w:val="0"/>
            <w:vAlign w:val="center"/>
          </w:tcPr>
          <w:p w14:paraId="177DE3EE">
            <w:pPr>
              <w:widowControl/>
              <w:jc w:val="center"/>
              <w:rPr>
                <w:rFonts w:hint="eastAsia" w:ascii="宋体" w:hAnsi="宋体" w:eastAsia="宋体" w:cs="宋体"/>
                <w:b/>
                <w:color w:val="auto"/>
                <w:sz w:val="24"/>
                <w:szCs w:val="24"/>
                <w:highlight w:val="none"/>
                <w:shd w:val="clear" w:color="auto" w:fill="FFFFFF"/>
              </w:rPr>
            </w:pPr>
          </w:p>
        </w:tc>
        <w:tc>
          <w:tcPr>
            <w:tcW w:w="1506" w:type="dxa"/>
            <w:noWrap w:val="0"/>
            <w:vAlign w:val="center"/>
          </w:tcPr>
          <w:p w14:paraId="6A835D8E">
            <w:pPr>
              <w:widowControl/>
              <w:jc w:val="center"/>
              <w:rPr>
                <w:rFonts w:hint="eastAsia" w:ascii="宋体" w:hAnsi="宋体" w:eastAsia="宋体" w:cs="宋体"/>
                <w:b/>
                <w:color w:val="auto"/>
                <w:sz w:val="24"/>
                <w:szCs w:val="24"/>
                <w:highlight w:val="none"/>
                <w:shd w:val="clear" w:color="auto" w:fill="FFFFFF"/>
              </w:rPr>
            </w:pPr>
          </w:p>
        </w:tc>
        <w:tc>
          <w:tcPr>
            <w:tcW w:w="1580" w:type="dxa"/>
            <w:noWrap w:val="0"/>
            <w:vAlign w:val="center"/>
          </w:tcPr>
          <w:p w14:paraId="6532B5E2">
            <w:pPr>
              <w:widowControl/>
              <w:jc w:val="center"/>
              <w:rPr>
                <w:rFonts w:hint="eastAsia" w:ascii="宋体" w:hAnsi="宋体" w:eastAsia="宋体" w:cs="宋体"/>
                <w:b/>
                <w:color w:val="auto"/>
                <w:sz w:val="24"/>
                <w:szCs w:val="24"/>
                <w:highlight w:val="none"/>
                <w:shd w:val="clear" w:color="auto" w:fill="FFFFFF"/>
              </w:rPr>
            </w:pPr>
          </w:p>
        </w:tc>
        <w:tc>
          <w:tcPr>
            <w:tcW w:w="1440" w:type="dxa"/>
            <w:noWrap w:val="0"/>
            <w:vAlign w:val="center"/>
          </w:tcPr>
          <w:p w14:paraId="361AFA08">
            <w:pPr>
              <w:widowControl/>
              <w:jc w:val="center"/>
              <w:rPr>
                <w:rFonts w:hint="eastAsia" w:ascii="宋体" w:hAnsi="宋体" w:eastAsia="宋体" w:cs="宋体"/>
                <w:b/>
                <w:color w:val="auto"/>
                <w:sz w:val="24"/>
                <w:szCs w:val="24"/>
                <w:highlight w:val="none"/>
                <w:shd w:val="clear" w:color="auto" w:fill="FFFFFF"/>
              </w:rPr>
            </w:pPr>
          </w:p>
        </w:tc>
        <w:tc>
          <w:tcPr>
            <w:tcW w:w="1711" w:type="dxa"/>
            <w:noWrap w:val="0"/>
            <w:vAlign w:val="center"/>
          </w:tcPr>
          <w:p w14:paraId="3EE64D2A">
            <w:pPr>
              <w:widowControl/>
              <w:jc w:val="center"/>
              <w:rPr>
                <w:rFonts w:hint="eastAsia" w:ascii="宋体" w:hAnsi="宋体" w:eastAsia="宋体" w:cs="宋体"/>
                <w:b/>
                <w:color w:val="auto"/>
                <w:sz w:val="24"/>
                <w:szCs w:val="24"/>
                <w:highlight w:val="none"/>
                <w:shd w:val="clear" w:color="auto" w:fill="FFFFFF"/>
              </w:rPr>
            </w:pPr>
          </w:p>
        </w:tc>
        <w:tc>
          <w:tcPr>
            <w:tcW w:w="1268" w:type="dxa"/>
            <w:noWrap w:val="0"/>
            <w:vAlign w:val="center"/>
          </w:tcPr>
          <w:p w14:paraId="0DB73A0D">
            <w:pPr>
              <w:widowControl/>
              <w:jc w:val="center"/>
              <w:rPr>
                <w:rFonts w:hint="eastAsia" w:ascii="宋体" w:hAnsi="宋体" w:eastAsia="宋体" w:cs="宋体"/>
                <w:b/>
                <w:color w:val="auto"/>
                <w:sz w:val="24"/>
                <w:szCs w:val="24"/>
                <w:highlight w:val="none"/>
                <w:shd w:val="clear" w:color="auto" w:fill="FFFFFF"/>
              </w:rPr>
            </w:pPr>
          </w:p>
        </w:tc>
      </w:tr>
      <w:tr w14:paraId="78FC7A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jc w:val="center"/>
        </w:trPr>
        <w:tc>
          <w:tcPr>
            <w:tcW w:w="1430" w:type="dxa"/>
            <w:noWrap w:val="0"/>
            <w:vAlign w:val="center"/>
          </w:tcPr>
          <w:p w14:paraId="678C8C07">
            <w:pPr>
              <w:widowControl/>
              <w:jc w:val="center"/>
              <w:rPr>
                <w:rFonts w:hint="eastAsia" w:ascii="宋体" w:hAnsi="宋体" w:eastAsia="宋体" w:cs="宋体"/>
                <w:b/>
                <w:color w:val="auto"/>
                <w:sz w:val="24"/>
                <w:szCs w:val="24"/>
                <w:highlight w:val="none"/>
                <w:shd w:val="clear" w:color="auto" w:fill="FFFFFF"/>
              </w:rPr>
            </w:pPr>
          </w:p>
        </w:tc>
        <w:tc>
          <w:tcPr>
            <w:tcW w:w="1704" w:type="dxa"/>
            <w:noWrap w:val="0"/>
            <w:vAlign w:val="center"/>
          </w:tcPr>
          <w:p w14:paraId="6881B783">
            <w:pPr>
              <w:widowControl/>
              <w:jc w:val="center"/>
              <w:rPr>
                <w:rFonts w:hint="eastAsia" w:ascii="宋体" w:hAnsi="宋体" w:eastAsia="宋体" w:cs="宋体"/>
                <w:b/>
                <w:color w:val="auto"/>
                <w:sz w:val="24"/>
                <w:szCs w:val="24"/>
                <w:highlight w:val="none"/>
                <w:shd w:val="clear" w:color="auto" w:fill="FFFFFF"/>
              </w:rPr>
            </w:pPr>
          </w:p>
        </w:tc>
        <w:tc>
          <w:tcPr>
            <w:tcW w:w="1506" w:type="dxa"/>
            <w:noWrap w:val="0"/>
            <w:vAlign w:val="center"/>
          </w:tcPr>
          <w:p w14:paraId="65FA65BE">
            <w:pPr>
              <w:widowControl/>
              <w:jc w:val="center"/>
              <w:rPr>
                <w:rFonts w:hint="eastAsia" w:ascii="宋体" w:hAnsi="宋体" w:eastAsia="宋体" w:cs="宋体"/>
                <w:b/>
                <w:color w:val="auto"/>
                <w:sz w:val="24"/>
                <w:szCs w:val="24"/>
                <w:highlight w:val="none"/>
                <w:shd w:val="clear" w:color="auto" w:fill="FFFFFF"/>
              </w:rPr>
            </w:pPr>
          </w:p>
        </w:tc>
        <w:tc>
          <w:tcPr>
            <w:tcW w:w="1580" w:type="dxa"/>
            <w:noWrap w:val="0"/>
            <w:vAlign w:val="center"/>
          </w:tcPr>
          <w:p w14:paraId="7978DAFD">
            <w:pPr>
              <w:widowControl/>
              <w:jc w:val="center"/>
              <w:rPr>
                <w:rFonts w:hint="eastAsia" w:ascii="宋体" w:hAnsi="宋体" w:eastAsia="宋体" w:cs="宋体"/>
                <w:b/>
                <w:color w:val="auto"/>
                <w:sz w:val="24"/>
                <w:szCs w:val="24"/>
                <w:highlight w:val="none"/>
                <w:shd w:val="clear" w:color="auto" w:fill="FFFFFF"/>
              </w:rPr>
            </w:pPr>
          </w:p>
        </w:tc>
        <w:tc>
          <w:tcPr>
            <w:tcW w:w="1440" w:type="dxa"/>
            <w:noWrap w:val="0"/>
            <w:vAlign w:val="center"/>
          </w:tcPr>
          <w:p w14:paraId="4433DFDB">
            <w:pPr>
              <w:widowControl/>
              <w:jc w:val="center"/>
              <w:rPr>
                <w:rFonts w:hint="eastAsia" w:ascii="宋体" w:hAnsi="宋体" w:eastAsia="宋体" w:cs="宋体"/>
                <w:b/>
                <w:color w:val="auto"/>
                <w:sz w:val="24"/>
                <w:szCs w:val="24"/>
                <w:highlight w:val="none"/>
                <w:shd w:val="clear" w:color="auto" w:fill="FFFFFF"/>
              </w:rPr>
            </w:pPr>
          </w:p>
        </w:tc>
        <w:tc>
          <w:tcPr>
            <w:tcW w:w="1711" w:type="dxa"/>
            <w:noWrap w:val="0"/>
            <w:vAlign w:val="center"/>
          </w:tcPr>
          <w:p w14:paraId="532A3E37">
            <w:pPr>
              <w:widowControl/>
              <w:jc w:val="center"/>
              <w:rPr>
                <w:rFonts w:hint="eastAsia" w:ascii="宋体" w:hAnsi="宋体" w:eastAsia="宋体" w:cs="宋体"/>
                <w:b/>
                <w:color w:val="auto"/>
                <w:sz w:val="24"/>
                <w:szCs w:val="24"/>
                <w:highlight w:val="none"/>
                <w:shd w:val="clear" w:color="auto" w:fill="FFFFFF"/>
              </w:rPr>
            </w:pPr>
          </w:p>
        </w:tc>
        <w:tc>
          <w:tcPr>
            <w:tcW w:w="1268" w:type="dxa"/>
            <w:noWrap w:val="0"/>
            <w:vAlign w:val="center"/>
          </w:tcPr>
          <w:p w14:paraId="339C34CF">
            <w:pPr>
              <w:widowControl/>
              <w:jc w:val="center"/>
              <w:rPr>
                <w:rFonts w:hint="eastAsia" w:ascii="宋体" w:hAnsi="宋体" w:eastAsia="宋体" w:cs="宋体"/>
                <w:b/>
                <w:color w:val="auto"/>
                <w:sz w:val="24"/>
                <w:szCs w:val="24"/>
                <w:highlight w:val="none"/>
                <w:shd w:val="clear" w:color="auto" w:fill="FFFFFF"/>
              </w:rPr>
            </w:pPr>
          </w:p>
        </w:tc>
      </w:tr>
      <w:tr w14:paraId="62CAA4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50" w:hRule="atLeast"/>
          <w:jc w:val="center"/>
        </w:trPr>
        <w:tc>
          <w:tcPr>
            <w:tcW w:w="1430" w:type="dxa"/>
            <w:noWrap w:val="0"/>
            <w:vAlign w:val="center"/>
          </w:tcPr>
          <w:p w14:paraId="281F1956">
            <w:pPr>
              <w:widowControl/>
              <w:jc w:val="center"/>
              <w:rPr>
                <w:rFonts w:hint="eastAsia" w:ascii="宋体" w:hAnsi="宋体" w:eastAsia="宋体" w:cs="宋体"/>
                <w:b/>
                <w:color w:val="auto"/>
                <w:sz w:val="24"/>
                <w:szCs w:val="24"/>
                <w:highlight w:val="none"/>
                <w:shd w:val="clear" w:color="auto" w:fill="FFFFFF"/>
              </w:rPr>
            </w:pPr>
          </w:p>
        </w:tc>
        <w:tc>
          <w:tcPr>
            <w:tcW w:w="1704" w:type="dxa"/>
            <w:noWrap w:val="0"/>
            <w:vAlign w:val="center"/>
          </w:tcPr>
          <w:p w14:paraId="16991762">
            <w:pPr>
              <w:widowControl/>
              <w:jc w:val="center"/>
              <w:rPr>
                <w:rFonts w:hint="eastAsia" w:ascii="宋体" w:hAnsi="宋体" w:eastAsia="宋体" w:cs="宋体"/>
                <w:b/>
                <w:color w:val="auto"/>
                <w:sz w:val="24"/>
                <w:szCs w:val="24"/>
                <w:highlight w:val="none"/>
                <w:shd w:val="clear" w:color="auto" w:fill="FFFFFF"/>
              </w:rPr>
            </w:pPr>
          </w:p>
        </w:tc>
        <w:tc>
          <w:tcPr>
            <w:tcW w:w="1506" w:type="dxa"/>
            <w:noWrap w:val="0"/>
            <w:vAlign w:val="center"/>
          </w:tcPr>
          <w:p w14:paraId="6B4FA991">
            <w:pPr>
              <w:widowControl/>
              <w:jc w:val="center"/>
              <w:rPr>
                <w:rFonts w:hint="eastAsia" w:ascii="宋体" w:hAnsi="宋体" w:eastAsia="宋体" w:cs="宋体"/>
                <w:b/>
                <w:color w:val="auto"/>
                <w:sz w:val="24"/>
                <w:szCs w:val="24"/>
                <w:highlight w:val="none"/>
                <w:shd w:val="clear" w:color="auto" w:fill="FFFFFF"/>
              </w:rPr>
            </w:pPr>
          </w:p>
        </w:tc>
        <w:tc>
          <w:tcPr>
            <w:tcW w:w="1580" w:type="dxa"/>
            <w:noWrap w:val="0"/>
            <w:vAlign w:val="center"/>
          </w:tcPr>
          <w:p w14:paraId="2228B728">
            <w:pPr>
              <w:widowControl/>
              <w:jc w:val="center"/>
              <w:rPr>
                <w:rFonts w:hint="eastAsia" w:ascii="宋体" w:hAnsi="宋体" w:eastAsia="宋体" w:cs="宋体"/>
                <w:b/>
                <w:color w:val="auto"/>
                <w:sz w:val="24"/>
                <w:szCs w:val="24"/>
                <w:highlight w:val="none"/>
                <w:shd w:val="clear" w:color="auto" w:fill="FFFFFF"/>
              </w:rPr>
            </w:pPr>
          </w:p>
        </w:tc>
        <w:tc>
          <w:tcPr>
            <w:tcW w:w="1440" w:type="dxa"/>
            <w:noWrap w:val="0"/>
            <w:vAlign w:val="center"/>
          </w:tcPr>
          <w:p w14:paraId="6F99C692">
            <w:pPr>
              <w:widowControl/>
              <w:jc w:val="center"/>
              <w:rPr>
                <w:rFonts w:hint="eastAsia" w:ascii="宋体" w:hAnsi="宋体" w:eastAsia="宋体" w:cs="宋体"/>
                <w:b/>
                <w:color w:val="auto"/>
                <w:sz w:val="24"/>
                <w:szCs w:val="24"/>
                <w:highlight w:val="none"/>
                <w:shd w:val="clear" w:color="auto" w:fill="FFFFFF"/>
              </w:rPr>
            </w:pPr>
          </w:p>
        </w:tc>
        <w:tc>
          <w:tcPr>
            <w:tcW w:w="1711" w:type="dxa"/>
            <w:noWrap w:val="0"/>
            <w:vAlign w:val="center"/>
          </w:tcPr>
          <w:p w14:paraId="0A1102E4">
            <w:pPr>
              <w:widowControl/>
              <w:jc w:val="center"/>
              <w:rPr>
                <w:rFonts w:hint="eastAsia" w:ascii="宋体" w:hAnsi="宋体" w:eastAsia="宋体" w:cs="宋体"/>
                <w:b/>
                <w:color w:val="auto"/>
                <w:sz w:val="24"/>
                <w:szCs w:val="24"/>
                <w:highlight w:val="none"/>
                <w:shd w:val="clear" w:color="auto" w:fill="FFFFFF"/>
              </w:rPr>
            </w:pPr>
          </w:p>
        </w:tc>
        <w:tc>
          <w:tcPr>
            <w:tcW w:w="1268" w:type="dxa"/>
            <w:noWrap w:val="0"/>
            <w:vAlign w:val="center"/>
          </w:tcPr>
          <w:p w14:paraId="649D0E7C">
            <w:pPr>
              <w:widowControl/>
              <w:jc w:val="center"/>
              <w:rPr>
                <w:rFonts w:hint="eastAsia" w:ascii="宋体" w:hAnsi="宋体" w:eastAsia="宋体" w:cs="宋体"/>
                <w:b/>
                <w:color w:val="auto"/>
                <w:sz w:val="24"/>
                <w:szCs w:val="24"/>
                <w:highlight w:val="none"/>
                <w:shd w:val="clear" w:color="auto" w:fill="FFFFFF"/>
              </w:rPr>
            </w:pPr>
          </w:p>
        </w:tc>
      </w:tr>
      <w:tr w14:paraId="361FA2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jc w:val="center"/>
        </w:trPr>
        <w:tc>
          <w:tcPr>
            <w:tcW w:w="1430" w:type="dxa"/>
            <w:noWrap w:val="0"/>
            <w:vAlign w:val="center"/>
          </w:tcPr>
          <w:p w14:paraId="641B1810">
            <w:pPr>
              <w:widowControl/>
              <w:jc w:val="center"/>
              <w:rPr>
                <w:rFonts w:hint="eastAsia" w:ascii="宋体" w:hAnsi="宋体" w:eastAsia="宋体" w:cs="宋体"/>
                <w:b/>
                <w:color w:val="auto"/>
                <w:sz w:val="24"/>
                <w:szCs w:val="24"/>
                <w:highlight w:val="none"/>
                <w:shd w:val="clear" w:color="auto" w:fill="FFFFFF"/>
              </w:rPr>
            </w:pPr>
          </w:p>
        </w:tc>
        <w:tc>
          <w:tcPr>
            <w:tcW w:w="1704" w:type="dxa"/>
            <w:noWrap w:val="0"/>
            <w:vAlign w:val="center"/>
          </w:tcPr>
          <w:p w14:paraId="3D46355E">
            <w:pPr>
              <w:widowControl/>
              <w:jc w:val="center"/>
              <w:rPr>
                <w:rFonts w:hint="eastAsia" w:ascii="宋体" w:hAnsi="宋体" w:eastAsia="宋体" w:cs="宋体"/>
                <w:b/>
                <w:color w:val="auto"/>
                <w:sz w:val="24"/>
                <w:szCs w:val="24"/>
                <w:highlight w:val="none"/>
                <w:shd w:val="clear" w:color="auto" w:fill="FFFFFF"/>
              </w:rPr>
            </w:pPr>
          </w:p>
        </w:tc>
        <w:tc>
          <w:tcPr>
            <w:tcW w:w="1506" w:type="dxa"/>
            <w:noWrap w:val="0"/>
            <w:vAlign w:val="center"/>
          </w:tcPr>
          <w:p w14:paraId="67773C16">
            <w:pPr>
              <w:widowControl/>
              <w:jc w:val="center"/>
              <w:rPr>
                <w:rFonts w:hint="eastAsia" w:ascii="宋体" w:hAnsi="宋体" w:eastAsia="宋体" w:cs="宋体"/>
                <w:b/>
                <w:color w:val="auto"/>
                <w:sz w:val="24"/>
                <w:szCs w:val="24"/>
                <w:highlight w:val="none"/>
                <w:shd w:val="clear" w:color="auto" w:fill="FFFFFF"/>
              </w:rPr>
            </w:pPr>
          </w:p>
        </w:tc>
        <w:tc>
          <w:tcPr>
            <w:tcW w:w="1580" w:type="dxa"/>
            <w:noWrap w:val="0"/>
            <w:vAlign w:val="center"/>
          </w:tcPr>
          <w:p w14:paraId="74D0EAE5">
            <w:pPr>
              <w:widowControl/>
              <w:jc w:val="center"/>
              <w:rPr>
                <w:rFonts w:hint="eastAsia" w:ascii="宋体" w:hAnsi="宋体" w:eastAsia="宋体" w:cs="宋体"/>
                <w:b/>
                <w:color w:val="auto"/>
                <w:sz w:val="24"/>
                <w:szCs w:val="24"/>
                <w:highlight w:val="none"/>
                <w:shd w:val="clear" w:color="auto" w:fill="FFFFFF"/>
              </w:rPr>
            </w:pPr>
          </w:p>
        </w:tc>
        <w:tc>
          <w:tcPr>
            <w:tcW w:w="1440" w:type="dxa"/>
            <w:noWrap w:val="0"/>
            <w:vAlign w:val="center"/>
          </w:tcPr>
          <w:p w14:paraId="33470160">
            <w:pPr>
              <w:widowControl/>
              <w:jc w:val="center"/>
              <w:rPr>
                <w:rFonts w:hint="eastAsia" w:ascii="宋体" w:hAnsi="宋体" w:eastAsia="宋体" w:cs="宋体"/>
                <w:b/>
                <w:color w:val="auto"/>
                <w:sz w:val="24"/>
                <w:szCs w:val="24"/>
                <w:highlight w:val="none"/>
                <w:shd w:val="clear" w:color="auto" w:fill="FFFFFF"/>
              </w:rPr>
            </w:pPr>
          </w:p>
        </w:tc>
        <w:tc>
          <w:tcPr>
            <w:tcW w:w="1711" w:type="dxa"/>
            <w:noWrap w:val="0"/>
            <w:vAlign w:val="center"/>
          </w:tcPr>
          <w:p w14:paraId="0C9F4685">
            <w:pPr>
              <w:widowControl/>
              <w:jc w:val="center"/>
              <w:rPr>
                <w:rFonts w:hint="eastAsia" w:ascii="宋体" w:hAnsi="宋体" w:eastAsia="宋体" w:cs="宋体"/>
                <w:b/>
                <w:color w:val="auto"/>
                <w:sz w:val="24"/>
                <w:szCs w:val="24"/>
                <w:highlight w:val="none"/>
                <w:shd w:val="clear" w:color="auto" w:fill="FFFFFF"/>
              </w:rPr>
            </w:pPr>
          </w:p>
        </w:tc>
        <w:tc>
          <w:tcPr>
            <w:tcW w:w="1268" w:type="dxa"/>
            <w:noWrap w:val="0"/>
            <w:vAlign w:val="center"/>
          </w:tcPr>
          <w:p w14:paraId="7672F679">
            <w:pPr>
              <w:widowControl/>
              <w:jc w:val="center"/>
              <w:rPr>
                <w:rFonts w:hint="eastAsia" w:ascii="宋体" w:hAnsi="宋体" w:eastAsia="宋体" w:cs="宋体"/>
                <w:b/>
                <w:color w:val="auto"/>
                <w:sz w:val="24"/>
                <w:szCs w:val="24"/>
                <w:highlight w:val="none"/>
                <w:shd w:val="clear" w:color="auto" w:fill="FFFFFF"/>
              </w:rPr>
            </w:pPr>
          </w:p>
        </w:tc>
      </w:tr>
    </w:tbl>
    <w:p w14:paraId="5B175555">
      <w:pPr>
        <w:spacing w:line="360" w:lineRule="auto"/>
        <w:ind w:firstLine="482"/>
        <w:jc w:val="left"/>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注：1、本表仅须填写与投标人存在直接股权、管理关系的企业情况。投标人应按上表要求据实填写，如填写“无”或不填写，均视为投标人声明不存在有关情形。</w:t>
      </w:r>
    </w:p>
    <w:p w14:paraId="29074951">
      <w:pPr>
        <w:spacing w:line="360" w:lineRule="auto"/>
        <w:ind w:firstLine="482"/>
        <w:jc w:val="left"/>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2、其中“直接控股”是指投标人与大型企业之间存在直接投资并控股（非普通持股）的关系。</w:t>
      </w:r>
    </w:p>
    <w:p w14:paraId="646AC5E4">
      <w:pPr>
        <w:pStyle w:val="19"/>
        <w:spacing w:before="35" w:line="440" w:lineRule="exact"/>
        <w:ind w:left="4060" w:right="2166" w:firstLine="358" w:firstLineChars="152"/>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企业名称（加盖CA电子公章）：</w:t>
      </w:r>
    </w:p>
    <w:p w14:paraId="36AD0D69">
      <w:pPr>
        <w:pStyle w:val="19"/>
        <w:spacing w:before="35" w:line="440" w:lineRule="exact"/>
        <w:ind w:left="4060" w:right="2166" w:firstLine="358" w:firstLineChars="152"/>
        <w:rPr>
          <w:rFonts w:hint="eastAsia" w:ascii="宋体" w:hAnsi="宋体" w:eastAsia="宋体" w:cs="宋体"/>
          <w:color w:val="auto"/>
          <w:sz w:val="22"/>
          <w:szCs w:val="21"/>
          <w:highlight w:val="none"/>
        </w:rPr>
      </w:pPr>
      <w:r>
        <w:rPr>
          <w:rFonts w:hint="eastAsia" w:ascii="宋体" w:hAnsi="宋体" w:eastAsia="宋体" w:cs="宋体"/>
          <w:color w:val="auto"/>
          <w:spacing w:val="-2"/>
          <w:sz w:val="24"/>
          <w:szCs w:val="24"/>
          <w:highlight w:val="none"/>
        </w:rPr>
        <w:t>日期：</w:t>
      </w:r>
      <w:bookmarkEnd w:id="292"/>
      <w:bookmarkEnd w:id="293"/>
      <w:bookmarkEnd w:id="294"/>
      <w:bookmarkEnd w:id="295"/>
      <w:bookmarkEnd w:id="296"/>
      <w:bookmarkEnd w:id="328"/>
      <w:bookmarkEnd w:id="329"/>
    </w:p>
    <w:bookmarkEnd w:id="332"/>
    <w:sectPr>
      <w:footerReference r:id="rId13" w:type="first"/>
      <w:footerReference r:id="rId12" w:type="default"/>
      <w:pgSz w:w="11907" w:h="16840"/>
      <w:pgMar w:top="1134" w:right="882" w:bottom="1418" w:left="1365" w:header="567" w:footer="794" w:gutter="0"/>
      <w:cols w:space="720" w:num="1"/>
      <w:titlePg/>
      <w:docGrid w:type="lines" w:linePitch="30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swiss"/>
    <w:pitch w:val="default"/>
    <w:sig w:usb0="E1002EFF" w:usb1="C000605B" w:usb2="00000029" w:usb3="00000000" w:csb0="200101FF" w:csb1="20280000"/>
  </w:font>
  <w:font w:name="Berlin Sans FB Demi">
    <w:altName w:val="Segoe Print"/>
    <w:panose1 w:val="020E0802020502020306"/>
    <w:charset w:val="00"/>
    <w:family w:val="swiss"/>
    <w:pitch w:val="default"/>
    <w:sig w:usb0="00000000" w:usb1="00000000" w:usb2="00000000" w:usb3="00000000" w:csb0="2000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A8C074">
    <w:pPr>
      <w:pStyle w:val="3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F72D4B">
    <w:pPr>
      <w:pStyle w:val="34"/>
      <w:framePr w:wrap="around" w:vAnchor="text" w:hAnchor="margin" w:xAlign="right" w:y="1"/>
      <w:rPr>
        <w:rStyle w:val="58"/>
      </w:rPr>
    </w:pPr>
    <w:r>
      <w:fldChar w:fldCharType="begin"/>
    </w:r>
    <w:r>
      <w:rPr>
        <w:rStyle w:val="58"/>
      </w:rPr>
      <w:instrText xml:space="preserve">PAGE  </w:instrText>
    </w:r>
    <w:r>
      <w:fldChar w:fldCharType="separate"/>
    </w:r>
    <w:r>
      <w:rPr>
        <w:rStyle w:val="58"/>
      </w:rPr>
      <w:t>16</w:t>
    </w:r>
    <w:r>
      <w:fldChar w:fldCharType="end"/>
    </w:r>
  </w:p>
  <w:p w14:paraId="1334BB12">
    <w:pPr>
      <w:pStyle w:val="34"/>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57449F">
    <w:pPr>
      <w:pStyle w:val="34"/>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42ED6A">
    <w:pPr>
      <w:pStyle w:val="34"/>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D1C35F">
    <w:pPr>
      <w:pStyle w:val="34"/>
      <w:ind w:right="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7893C83">
                          <w:pPr>
                            <w:pStyle w:val="34"/>
                          </w:pPr>
                          <w:r>
                            <w:fldChar w:fldCharType="begin"/>
                          </w:r>
                          <w:r>
                            <w:instrText xml:space="preserve"> PAGE  \* MERGEFORMAT </w:instrText>
                          </w:r>
                          <w:r>
                            <w:fldChar w:fldCharType="separate"/>
                          </w:r>
                          <w:r>
                            <w:t>14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47893C83">
                    <w:pPr>
                      <w:pStyle w:val="34"/>
                    </w:pPr>
                    <w:r>
                      <w:fldChar w:fldCharType="begin"/>
                    </w:r>
                    <w:r>
                      <w:instrText xml:space="preserve"> PAGE  \* MERGEFORMAT </w:instrText>
                    </w:r>
                    <w:r>
                      <w:fldChar w:fldCharType="separate"/>
                    </w:r>
                    <w:r>
                      <w:t>14</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1FE8F7">
    <w:pPr>
      <w:pStyle w:val="34"/>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9E0B29">
                          <w:pPr>
                            <w:pStyle w:val="3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1E9E0B29">
                    <w:pPr>
                      <w:pStyle w:val="3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136233">
    <w:pPr>
      <w:pStyle w:val="34"/>
      <w:ind w:right="360"/>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AFA32E">
                          <w:pPr>
                            <w:pStyle w:val="34"/>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37AFA32E">
                    <w:pPr>
                      <w:pStyle w:val="34"/>
                    </w:pPr>
                    <w:r>
                      <w:fldChar w:fldCharType="begin"/>
                    </w:r>
                    <w:r>
                      <w:instrText xml:space="preserve"> PAGE  \* MERGEFORMAT </w:instrText>
                    </w:r>
                    <w:r>
                      <w:fldChar w:fldCharType="separate"/>
                    </w:r>
                    <w:r>
                      <w:t>48</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E88F69">
    <w:pPr>
      <w:pStyle w:val="34"/>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A5F6B6">
                          <w:pPr>
                            <w:pStyle w:val="34"/>
                          </w:pPr>
                          <w:r>
                            <w:fldChar w:fldCharType="begin"/>
                          </w:r>
                          <w:r>
                            <w:instrText xml:space="preserve"> PAGE  \* MERGEFORMAT </w:instrText>
                          </w:r>
                          <w:r>
                            <w:fldChar w:fldCharType="separate"/>
                          </w:r>
                          <w:r>
                            <w:t>40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4EA5F6B6">
                    <w:pPr>
                      <w:pStyle w:val="34"/>
                    </w:pPr>
                    <w:r>
                      <w:fldChar w:fldCharType="begin"/>
                    </w:r>
                    <w:r>
                      <w:instrText xml:space="preserve"> PAGE  \* MERGEFORMAT </w:instrText>
                    </w:r>
                    <w:r>
                      <w:fldChar w:fldCharType="separate"/>
                    </w:r>
                    <w:r>
                      <w:t>40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6FB807">
    <w:pPr>
      <w:spacing w:line="360" w:lineRule="auto"/>
      <w:jc w:val="left"/>
    </w:pPr>
    <w:r>
      <w:rPr>
        <w:rFonts w:hint="eastAsia"/>
        <w:bCs/>
        <w:sz w:val="18"/>
        <w:szCs w:val="18"/>
      </w:rPr>
      <w:t>涵熙（苏州）工程顾问有限公司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34BA9A">
    <w:pPr>
      <w:pStyle w:val="3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01F0B0">
    <w:pPr>
      <w:pStyle w:val="35"/>
      <w:pBdr>
        <w:bottom w:val="none" w:color="auto" w:sz="0" w:space="1"/>
      </w:pBdr>
      <w:tabs>
        <w:tab w:val="left" w:pos="3355"/>
        <w:tab w:val="clear" w:pos="4153"/>
      </w:tabs>
      <w:jc w:val="left"/>
    </w:pPr>
    <w:r>
      <w:rPr>
        <w:rFonts w:hint="eastAsia"/>
      </w:rPr>
      <w:t>涵熙（苏州）工程顾问有限公司</w:t>
    </w:r>
    <w:r>
      <w:rPr>
        <w:rFonts w:hint="eastAsia"/>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A0C2485"/>
    <w:multiLevelType w:val="multilevel"/>
    <w:tmpl w:val="0A0C2485"/>
    <w:lvl w:ilvl="0" w:tentative="0">
      <w:start w:val="1"/>
      <w:numFmt w:val="decimal"/>
      <w:pStyle w:val="147"/>
      <w:lvlText w:val="%1、"/>
      <w:lvlJc w:val="left"/>
      <w:pPr>
        <w:tabs>
          <w:tab w:val="left" w:pos="3211"/>
        </w:tabs>
        <w:ind w:left="3211" w:hanging="375"/>
      </w:pPr>
      <w:rPr>
        <w:rFonts w:hint="eastAsia"/>
      </w:rPr>
    </w:lvl>
    <w:lvl w:ilvl="1" w:tentative="0">
      <w:start w:val="1"/>
      <w:numFmt w:val="lowerLetter"/>
      <w:lvlText w:val="%2)"/>
      <w:lvlJc w:val="left"/>
      <w:pPr>
        <w:tabs>
          <w:tab w:val="left" w:pos="3676"/>
        </w:tabs>
        <w:ind w:left="3676" w:hanging="420"/>
      </w:pPr>
    </w:lvl>
    <w:lvl w:ilvl="2" w:tentative="0">
      <w:start w:val="1"/>
      <w:numFmt w:val="lowerRoman"/>
      <w:lvlText w:val="%3."/>
      <w:lvlJc w:val="right"/>
      <w:pPr>
        <w:tabs>
          <w:tab w:val="left" w:pos="4096"/>
        </w:tabs>
        <w:ind w:left="4096" w:hanging="420"/>
      </w:pPr>
    </w:lvl>
    <w:lvl w:ilvl="3" w:tentative="0">
      <w:start w:val="1"/>
      <w:numFmt w:val="decimal"/>
      <w:lvlText w:val="%4."/>
      <w:lvlJc w:val="left"/>
      <w:pPr>
        <w:tabs>
          <w:tab w:val="left" w:pos="4516"/>
        </w:tabs>
        <w:ind w:left="4516" w:hanging="420"/>
      </w:pPr>
    </w:lvl>
    <w:lvl w:ilvl="4" w:tentative="0">
      <w:start w:val="1"/>
      <w:numFmt w:val="lowerLetter"/>
      <w:lvlText w:val="%5)"/>
      <w:lvlJc w:val="left"/>
      <w:pPr>
        <w:tabs>
          <w:tab w:val="left" w:pos="4936"/>
        </w:tabs>
        <w:ind w:left="4936" w:hanging="420"/>
      </w:pPr>
    </w:lvl>
    <w:lvl w:ilvl="5" w:tentative="0">
      <w:start w:val="1"/>
      <w:numFmt w:val="lowerRoman"/>
      <w:lvlText w:val="%6."/>
      <w:lvlJc w:val="right"/>
      <w:pPr>
        <w:tabs>
          <w:tab w:val="left" w:pos="5356"/>
        </w:tabs>
        <w:ind w:left="5356" w:hanging="420"/>
      </w:pPr>
    </w:lvl>
    <w:lvl w:ilvl="6" w:tentative="0">
      <w:start w:val="1"/>
      <w:numFmt w:val="decimal"/>
      <w:lvlText w:val="%7."/>
      <w:lvlJc w:val="left"/>
      <w:pPr>
        <w:tabs>
          <w:tab w:val="left" w:pos="5776"/>
        </w:tabs>
        <w:ind w:left="5776" w:hanging="420"/>
      </w:pPr>
    </w:lvl>
    <w:lvl w:ilvl="7" w:tentative="0">
      <w:start w:val="1"/>
      <w:numFmt w:val="lowerLetter"/>
      <w:lvlText w:val="%8)"/>
      <w:lvlJc w:val="left"/>
      <w:pPr>
        <w:tabs>
          <w:tab w:val="left" w:pos="6196"/>
        </w:tabs>
        <w:ind w:left="6196" w:hanging="420"/>
      </w:pPr>
    </w:lvl>
    <w:lvl w:ilvl="8" w:tentative="0">
      <w:start w:val="1"/>
      <w:numFmt w:val="lowerRoman"/>
      <w:lvlText w:val="%9."/>
      <w:lvlJc w:val="right"/>
      <w:pPr>
        <w:tabs>
          <w:tab w:val="left" w:pos="6616"/>
        </w:tabs>
        <w:ind w:left="6616" w:hanging="420"/>
      </w:pPr>
    </w:lvl>
  </w:abstractNum>
  <w:abstractNum w:abstractNumId="1">
    <w:nsid w:val="240D3E5A"/>
    <w:multiLevelType w:val="singleLevel"/>
    <w:tmpl w:val="240D3E5A"/>
    <w:lvl w:ilvl="0" w:tentative="0">
      <w:start w:val="1"/>
      <w:numFmt w:val="decimal"/>
      <w:pStyle w:val="144"/>
      <w:lvlText w:val="%1、"/>
      <w:lvlJc w:val="left"/>
      <w:pPr>
        <w:tabs>
          <w:tab w:val="left" w:pos="480"/>
        </w:tabs>
        <w:ind w:left="480" w:hanging="480"/>
      </w:pPr>
      <w:rPr>
        <w:rFonts w:hint="eastAsia"/>
      </w:rPr>
    </w:lvl>
  </w:abstractNum>
  <w:abstractNum w:abstractNumId="2">
    <w:nsid w:val="420C153B"/>
    <w:multiLevelType w:val="multilevel"/>
    <w:tmpl w:val="420C153B"/>
    <w:lvl w:ilvl="0" w:tentative="0">
      <w:start w:val="1"/>
      <w:numFmt w:val="decimal"/>
      <w:pStyle w:val="148"/>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color w:val="auto"/>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5"/>
  <w:drawingGridHorizontalSpacing w:val="105"/>
  <w:drawingGridVerticalSpacing w:val="305"/>
  <w:displayHorizontalDrawingGridEvery w:val="1"/>
  <w:displayVerticalDrawingGridEvery w:val="1"/>
  <w:noPunctuationKerning w:val="1"/>
  <w:characterSpacingControl w:val="compressPunctuation"/>
  <w:compat>
    <w:spaceForUL/>
    <w:balanceSingleByteDoubleByteWidth/>
    <w:doNotLeaveBackslashAlone/>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c2ODQ5ZjVhOWM2ZDA2MGQ2ZjM3ZWM1NzNlYWMyOTIifQ=="/>
  </w:docVars>
  <w:rsids>
    <w:rsidRoot w:val="00000000"/>
    <w:rsid w:val="001B6619"/>
    <w:rsid w:val="007C034F"/>
    <w:rsid w:val="00A97848"/>
    <w:rsid w:val="00C66B39"/>
    <w:rsid w:val="00C76C71"/>
    <w:rsid w:val="011D2960"/>
    <w:rsid w:val="018427B1"/>
    <w:rsid w:val="019D115B"/>
    <w:rsid w:val="01A707F4"/>
    <w:rsid w:val="01C40DDD"/>
    <w:rsid w:val="01E90844"/>
    <w:rsid w:val="026659F0"/>
    <w:rsid w:val="02C95F7F"/>
    <w:rsid w:val="02F456F2"/>
    <w:rsid w:val="02FA438B"/>
    <w:rsid w:val="03237D85"/>
    <w:rsid w:val="03771FB2"/>
    <w:rsid w:val="03914CEF"/>
    <w:rsid w:val="03D53774"/>
    <w:rsid w:val="03E15B68"/>
    <w:rsid w:val="04180F6C"/>
    <w:rsid w:val="043833BC"/>
    <w:rsid w:val="050D2A9B"/>
    <w:rsid w:val="053F69CD"/>
    <w:rsid w:val="05856AD5"/>
    <w:rsid w:val="058F525E"/>
    <w:rsid w:val="05E66413"/>
    <w:rsid w:val="06DB1450"/>
    <w:rsid w:val="077010BF"/>
    <w:rsid w:val="08276739"/>
    <w:rsid w:val="08316AA1"/>
    <w:rsid w:val="089B6610"/>
    <w:rsid w:val="08DE07EC"/>
    <w:rsid w:val="08F8136C"/>
    <w:rsid w:val="09541AF9"/>
    <w:rsid w:val="09A10F41"/>
    <w:rsid w:val="09C33728"/>
    <w:rsid w:val="09FF2354"/>
    <w:rsid w:val="0A321E71"/>
    <w:rsid w:val="0A79028B"/>
    <w:rsid w:val="0B0E131B"/>
    <w:rsid w:val="0B464611"/>
    <w:rsid w:val="0BA53A2D"/>
    <w:rsid w:val="0CF462EF"/>
    <w:rsid w:val="0D224A65"/>
    <w:rsid w:val="0DF53DCA"/>
    <w:rsid w:val="0E313756"/>
    <w:rsid w:val="0E7A5BEB"/>
    <w:rsid w:val="0E7B0DAE"/>
    <w:rsid w:val="0EB45FCB"/>
    <w:rsid w:val="0F6E32B4"/>
    <w:rsid w:val="107638B6"/>
    <w:rsid w:val="10B33C7B"/>
    <w:rsid w:val="10DC63CF"/>
    <w:rsid w:val="1168155A"/>
    <w:rsid w:val="11753049"/>
    <w:rsid w:val="1175397F"/>
    <w:rsid w:val="11DC7A7D"/>
    <w:rsid w:val="12357F66"/>
    <w:rsid w:val="125A6BF4"/>
    <w:rsid w:val="12C66037"/>
    <w:rsid w:val="12C6688C"/>
    <w:rsid w:val="13001549"/>
    <w:rsid w:val="13274D28"/>
    <w:rsid w:val="13C06F2A"/>
    <w:rsid w:val="13DA4490"/>
    <w:rsid w:val="14916AC5"/>
    <w:rsid w:val="14927358"/>
    <w:rsid w:val="1534197E"/>
    <w:rsid w:val="153C6903"/>
    <w:rsid w:val="15565C28"/>
    <w:rsid w:val="1562405D"/>
    <w:rsid w:val="15820DF0"/>
    <w:rsid w:val="15AA4102"/>
    <w:rsid w:val="15ED0C62"/>
    <w:rsid w:val="1635775C"/>
    <w:rsid w:val="166D72BD"/>
    <w:rsid w:val="16AA6FED"/>
    <w:rsid w:val="16B74615"/>
    <w:rsid w:val="171E4694"/>
    <w:rsid w:val="171F475B"/>
    <w:rsid w:val="17966920"/>
    <w:rsid w:val="17E458DD"/>
    <w:rsid w:val="18253800"/>
    <w:rsid w:val="186131B1"/>
    <w:rsid w:val="18C748B7"/>
    <w:rsid w:val="18E87003"/>
    <w:rsid w:val="196071E6"/>
    <w:rsid w:val="19A075E2"/>
    <w:rsid w:val="19AC242B"/>
    <w:rsid w:val="19B1320E"/>
    <w:rsid w:val="1A452B01"/>
    <w:rsid w:val="1A6920CA"/>
    <w:rsid w:val="1A7F18ED"/>
    <w:rsid w:val="1B8854F5"/>
    <w:rsid w:val="1C090D97"/>
    <w:rsid w:val="1C166281"/>
    <w:rsid w:val="1CDD28FB"/>
    <w:rsid w:val="1CFA525B"/>
    <w:rsid w:val="1D721295"/>
    <w:rsid w:val="1E0344C3"/>
    <w:rsid w:val="1E0D0FBE"/>
    <w:rsid w:val="1E374DD4"/>
    <w:rsid w:val="1E450758"/>
    <w:rsid w:val="1E6D61CB"/>
    <w:rsid w:val="1E7674A7"/>
    <w:rsid w:val="1EBF5851"/>
    <w:rsid w:val="1EDD2F0F"/>
    <w:rsid w:val="1F091F36"/>
    <w:rsid w:val="1F095C2A"/>
    <w:rsid w:val="1F334A54"/>
    <w:rsid w:val="1F3F33F9"/>
    <w:rsid w:val="1F843502"/>
    <w:rsid w:val="1F8452B0"/>
    <w:rsid w:val="1F9F3E59"/>
    <w:rsid w:val="1FAF67D1"/>
    <w:rsid w:val="200D34F7"/>
    <w:rsid w:val="20482362"/>
    <w:rsid w:val="209150D1"/>
    <w:rsid w:val="2122519C"/>
    <w:rsid w:val="217956A8"/>
    <w:rsid w:val="218872DA"/>
    <w:rsid w:val="21CD3ED2"/>
    <w:rsid w:val="22186A88"/>
    <w:rsid w:val="226855B6"/>
    <w:rsid w:val="22A55C69"/>
    <w:rsid w:val="23333275"/>
    <w:rsid w:val="238910E7"/>
    <w:rsid w:val="23B819CC"/>
    <w:rsid w:val="24BD5756"/>
    <w:rsid w:val="25033490"/>
    <w:rsid w:val="25453733"/>
    <w:rsid w:val="256E2C8A"/>
    <w:rsid w:val="26521C05"/>
    <w:rsid w:val="26726B49"/>
    <w:rsid w:val="26A821CC"/>
    <w:rsid w:val="26F466F3"/>
    <w:rsid w:val="270709F8"/>
    <w:rsid w:val="27F422C9"/>
    <w:rsid w:val="283006CB"/>
    <w:rsid w:val="285239B0"/>
    <w:rsid w:val="288F6BAA"/>
    <w:rsid w:val="28B430AA"/>
    <w:rsid w:val="28E82D54"/>
    <w:rsid w:val="28FE7C39"/>
    <w:rsid w:val="28FF5CA8"/>
    <w:rsid w:val="29840E3E"/>
    <w:rsid w:val="29D40F75"/>
    <w:rsid w:val="29EC477F"/>
    <w:rsid w:val="2A44220C"/>
    <w:rsid w:val="2A5E55DA"/>
    <w:rsid w:val="2AF50EB8"/>
    <w:rsid w:val="2B710DDE"/>
    <w:rsid w:val="2BA36083"/>
    <w:rsid w:val="2BB533C1"/>
    <w:rsid w:val="2BEB5C95"/>
    <w:rsid w:val="2C016606"/>
    <w:rsid w:val="2C20788D"/>
    <w:rsid w:val="2C450C26"/>
    <w:rsid w:val="2C9F3729"/>
    <w:rsid w:val="2D0C2557"/>
    <w:rsid w:val="2D4542D1"/>
    <w:rsid w:val="2DA3549B"/>
    <w:rsid w:val="2DD72447"/>
    <w:rsid w:val="2E266A28"/>
    <w:rsid w:val="2E56075F"/>
    <w:rsid w:val="2E980D78"/>
    <w:rsid w:val="2F6A001E"/>
    <w:rsid w:val="300E12F2"/>
    <w:rsid w:val="30937A49"/>
    <w:rsid w:val="30F57DBC"/>
    <w:rsid w:val="310F064F"/>
    <w:rsid w:val="31306FE3"/>
    <w:rsid w:val="31BE4652"/>
    <w:rsid w:val="324F5BF1"/>
    <w:rsid w:val="32AB372B"/>
    <w:rsid w:val="32C97D6B"/>
    <w:rsid w:val="33CD6DCE"/>
    <w:rsid w:val="33D4015C"/>
    <w:rsid w:val="34140033"/>
    <w:rsid w:val="34763909"/>
    <w:rsid w:val="34A60097"/>
    <w:rsid w:val="34B85CD0"/>
    <w:rsid w:val="34C41C96"/>
    <w:rsid w:val="35304DEB"/>
    <w:rsid w:val="35F750DE"/>
    <w:rsid w:val="366559E4"/>
    <w:rsid w:val="368A227A"/>
    <w:rsid w:val="36EA186C"/>
    <w:rsid w:val="36F4237B"/>
    <w:rsid w:val="37076A9B"/>
    <w:rsid w:val="37294C63"/>
    <w:rsid w:val="377242F8"/>
    <w:rsid w:val="378465D4"/>
    <w:rsid w:val="37936580"/>
    <w:rsid w:val="37C67DCF"/>
    <w:rsid w:val="383E029A"/>
    <w:rsid w:val="38455ACD"/>
    <w:rsid w:val="386E2D6E"/>
    <w:rsid w:val="38C05153"/>
    <w:rsid w:val="38DF2619"/>
    <w:rsid w:val="39041EFC"/>
    <w:rsid w:val="39227F3B"/>
    <w:rsid w:val="39241B86"/>
    <w:rsid w:val="39781A7E"/>
    <w:rsid w:val="398760D0"/>
    <w:rsid w:val="3994434B"/>
    <w:rsid w:val="3996571B"/>
    <w:rsid w:val="39AE1450"/>
    <w:rsid w:val="39E0610D"/>
    <w:rsid w:val="39FD1F07"/>
    <w:rsid w:val="3A0948D8"/>
    <w:rsid w:val="3A10210A"/>
    <w:rsid w:val="3A577D39"/>
    <w:rsid w:val="3AA92029"/>
    <w:rsid w:val="3ACC1422"/>
    <w:rsid w:val="3AE410EC"/>
    <w:rsid w:val="3B892174"/>
    <w:rsid w:val="3C065573"/>
    <w:rsid w:val="3C277297"/>
    <w:rsid w:val="3C4340D1"/>
    <w:rsid w:val="3CB959D9"/>
    <w:rsid w:val="3CF47AC1"/>
    <w:rsid w:val="3D1D1CFD"/>
    <w:rsid w:val="3D424389"/>
    <w:rsid w:val="3D964CF1"/>
    <w:rsid w:val="3DAA0180"/>
    <w:rsid w:val="3DC26B35"/>
    <w:rsid w:val="3DD86A9B"/>
    <w:rsid w:val="3E1F0B6E"/>
    <w:rsid w:val="3F072D80"/>
    <w:rsid w:val="3F4E5D23"/>
    <w:rsid w:val="3FF65710"/>
    <w:rsid w:val="3FFD0A3B"/>
    <w:rsid w:val="403226F1"/>
    <w:rsid w:val="40B05AAD"/>
    <w:rsid w:val="40E35E83"/>
    <w:rsid w:val="4108099A"/>
    <w:rsid w:val="412A1D04"/>
    <w:rsid w:val="4158403E"/>
    <w:rsid w:val="41C55588"/>
    <w:rsid w:val="42784CF1"/>
    <w:rsid w:val="42B775C7"/>
    <w:rsid w:val="43F263DD"/>
    <w:rsid w:val="446612A5"/>
    <w:rsid w:val="446F0117"/>
    <w:rsid w:val="44820034"/>
    <w:rsid w:val="449E771F"/>
    <w:rsid w:val="44DA134B"/>
    <w:rsid w:val="45A1630C"/>
    <w:rsid w:val="45C72DD2"/>
    <w:rsid w:val="46456C98"/>
    <w:rsid w:val="464C0026"/>
    <w:rsid w:val="4651388E"/>
    <w:rsid w:val="465E13FC"/>
    <w:rsid w:val="46E2098A"/>
    <w:rsid w:val="47ED7F42"/>
    <w:rsid w:val="482A083B"/>
    <w:rsid w:val="485458B8"/>
    <w:rsid w:val="48C26CC5"/>
    <w:rsid w:val="48E7672C"/>
    <w:rsid w:val="49A168DB"/>
    <w:rsid w:val="49B17B2C"/>
    <w:rsid w:val="49B44860"/>
    <w:rsid w:val="49CD497B"/>
    <w:rsid w:val="49E3677E"/>
    <w:rsid w:val="4A2F3EE7"/>
    <w:rsid w:val="4A9B5A20"/>
    <w:rsid w:val="4A9D120B"/>
    <w:rsid w:val="4B221C9D"/>
    <w:rsid w:val="4B517E8D"/>
    <w:rsid w:val="4C1B5C57"/>
    <w:rsid w:val="4C1C493F"/>
    <w:rsid w:val="4C222991"/>
    <w:rsid w:val="4C2D26A8"/>
    <w:rsid w:val="4D123EA4"/>
    <w:rsid w:val="4D245B2B"/>
    <w:rsid w:val="4D56274A"/>
    <w:rsid w:val="4D754306"/>
    <w:rsid w:val="4E642CFC"/>
    <w:rsid w:val="4E832A53"/>
    <w:rsid w:val="4EA01857"/>
    <w:rsid w:val="4EFF0937"/>
    <w:rsid w:val="4F6A776F"/>
    <w:rsid w:val="4F9661EA"/>
    <w:rsid w:val="4FC7696F"/>
    <w:rsid w:val="4FF573B5"/>
    <w:rsid w:val="5003209D"/>
    <w:rsid w:val="500F2A77"/>
    <w:rsid w:val="50914807"/>
    <w:rsid w:val="50CA2BBB"/>
    <w:rsid w:val="512A4626"/>
    <w:rsid w:val="5250430D"/>
    <w:rsid w:val="52701D78"/>
    <w:rsid w:val="53402528"/>
    <w:rsid w:val="536D782E"/>
    <w:rsid w:val="539A4AC7"/>
    <w:rsid w:val="53E94D7B"/>
    <w:rsid w:val="541D3002"/>
    <w:rsid w:val="54352A41"/>
    <w:rsid w:val="54A35BFD"/>
    <w:rsid w:val="55120C9B"/>
    <w:rsid w:val="551E1FFA"/>
    <w:rsid w:val="55A82D9F"/>
    <w:rsid w:val="55B17EA6"/>
    <w:rsid w:val="55C37BD9"/>
    <w:rsid w:val="55DE1F1A"/>
    <w:rsid w:val="55DE4499"/>
    <w:rsid w:val="5604091D"/>
    <w:rsid w:val="561072C2"/>
    <w:rsid w:val="5632548A"/>
    <w:rsid w:val="5652598C"/>
    <w:rsid w:val="567809C3"/>
    <w:rsid w:val="56C34335"/>
    <w:rsid w:val="56F87490"/>
    <w:rsid w:val="57342B3C"/>
    <w:rsid w:val="57905305"/>
    <w:rsid w:val="57D305A7"/>
    <w:rsid w:val="57E015C1"/>
    <w:rsid w:val="57FB0013"/>
    <w:rsid w:val="587902E4"/>
    <w:rsid w:val="58B55EFF"/>
    <w:rsid w:val="58C47EF0"/>
    <w:rsid w:val="58DE4499"/>
    <w:rsid w:val="58E56006"/>
    <w:rsid w:val="58E910E8"/>
    <w:rsid w:val="58F5633D"/>
    <w:rsid w:val="5915074C"/>
    <w:rsid w:val="59351CF1"/>
    <w:rsid w:val="594F0101"/>
    <w:rsid w:val="5A0A04CC"/>
    <w:rsid w:val="5B2146EB"/>
    <w:rsid w:val="5B2F170B"/>
    <w:rsid w:val="5B5436D1"/>
    <w:rsid w:val="5BA87F9D"/>
    <w:rsid w:val="5BC90C56"/>
    <w:rsid w:val="5C311D40"/>
    <w:rsid w:val="5C4244CD"/>
    <w:rsid w:val="5D017965"/>
    <w:rsid w:val="5D3624E8"/>
    <w:rsid w:val="5D6F288E"/>
    <w:rsid w:val="5D893FBA"/>
    <w:rsid w:val="5D9E51B4"/>
    <w:rsid w:val="5DF64FF0"/>
    <w:rsid w:val="5E3B2A02"/>
    <w:rsid w:val="5E44119A"/>
    <w:rsid w:val="5E602469"/>
    <w:rsid w:val="5E6C52B2"/>
    <w:rsid w:val="5EE4593A"/>
    <w:rsid w:val="5F1F0576"/>
    <w:rsid w:val="5FA12D39"/>
    <w:rsid w:val="5FB76A00"/>
    <w:rsid w:val="5FC627A0"/>
    <w:rsid w:val="5FE13A7D"/>
    <w:rsid w:val="60A800F7"/>
    <w:rsid w:val="60B371C8"/>
    <w:rsid w:val="60CF1B28"/>
    <w:rsid w:val="61265BEC"/>
    <w:rsid w:val="615362B5"/>
    <w:rsid w:val="61822F78"/>
    <w:rsid w:val="623261A6"/>
    <w:rsid w:val="62662018"/>
    <w:rsid w:val="62A0377C"/>
    <w:rsid w:val="62AB170E"/>
    <w:rsid w:val="62B114E5"/>
    <w:rsid w:val="63C32660"/>
    <w:rsid w:val="63E15DFA"/>
    <w:rsid w:val="64033FC2"/>
    <w:rsid w:val="642937ED"/>
    <w:rsid w:val="64460353"/>
    <w:rsid w:val="649015CE"/>
    <w:rsid w:val="64E21E2A"/>
    <w:rsid w:val="65530F79"/>
    <w:rsid w:val="65532A79"/>
    <w:rsid w:val="65856C59"/>
    <w:rsid w:val="65950E74"/>
    <w:rsid w:val="65B071DB"/>
    <w:rsid w:val="65B47BD7"/>
    <w:rsid w:val="66030981"/>
    <w:rsid w:val="66171FA7"/>
    <w:rsid w:val="661D0C3C"/>
    <w:rsid w:val="66CE7576"/>
    <w:rsid w:val="66E973A6"/>
    <w:rsid w:val="67136F77"/>
    <w:rsid w:val="675608AD"/>
    <w:rsid w:val="67900263"/>
    <w:rsid w:val="67BD26DA"/>
    <w:rsid w:val="67D2459C"/>
    <w:rsid w:val="682C160E"/>
    <w:rsid w:val="68CB1128"/>
    <w:rsid w:val="68D128E1"/>
    <w:rsid w:val="69026F3E"/>
    <w:rsid w:val="691427CE"/>
    <w:rsid w:val="69313380"/>
    <w:rsid w:val="69390486"/>
    <w:rsid w:val="69912070"/>
    <w:rsid w:val="69DD52B6"/>
    <w:rsid w:val="6A1D56B2"/>
    <w:rsid w:val="6A6529F5"/>
    <w:rsid w:val="6A8D0A8A"/>
    <w:rsid w:val="6A9A6D03"/>
    <w:rsid w:val="6AC87FE6"/>
    <w:rsid w:val="6ADF0BB9"/>
    <w:rsid w:val="6B1A792B"/>
    <w:rsid w:val="6B250CC2"/>
    <w:rsid w:val="6B4C26F3"/>
    <w:rsid w:val="6BCA2287"/>
    <w:rsid w:val="6C3867D3"/>
    <w:rsid w:val="6C5A0E3F"/>
    <w:rsid w:val="6C8A3643"/>
    <w:rsid w:val="6C9F4AA4"/>
    <w:rsid w:val="6CDB1509"/>
    <w:rsid w:val="6D154D66"/>
    <w:rsid w:val="6D357B54"/>
    <w:rsid w:val="6D7E75C4"/>
    <w:rsid w:val="6D995997"/>
    <w:rsid w:val="6DAD7C67"/>
    <w:rsid w:val="6DDD69F5"/>
    <w:rsid w:val="6DF8446C"/>
    <w:rsid w:val="6E105C5A"/>
    <w:rsid w:val="6E611FB1"/>
    <w:rsid w:val="6F133948"/>
    <w:rsid w:val="6F3B190E"/>
    <w:rsid w:val="6FBB39A3"/>
    <w:rsid w:val="702D3834"/>
    <w:rsid w:val="70A02B99"/>
    <w:rsid w:val="70D50A94"/>
    <w:rsid w:val="7130383E"/>
    <w:rsid w:val="718A4A0E"/>
    <w:rsid w:val="71A57CC7"/>
    <w:rsid w:val="71D92806"/>
    <w:rsid w:val="72246672"/>
    <w:rsid w:val="725D6F93"/>
    <w:rsid w:val="729843E7"/>
    <w:rsid w:val="72A773CF"/>
    <w:rsid w:val="72C2773E"/>
    <w:rsid w:val="730E21E9"/>
    <w:rsid w:val="7346211D"/>
    <w:rsid w:val="73CE06F6"/>
    <w:rsid w:val="746A2350"/>
    <w:rsid w:val="74C07CAE"/>
    <w:rsid w:val="74D6302D"/>
    <w:rsid w:val="74DC6096"/>
    <w:rsid w:val="753A35BC"/>
    <w:rsid w:val="759C4277"/>
    <w:rsid w:val="76061712"/>
    <w:rsid w:val="76434ED6"/>
    <w:rsid w:val="765661D4"/>
    <w:rsid w:val="76623E66"/>
    <w:rsid w:val="768947FB"/>
    <w:rsid w:val="76BF5C71"/>
    <w:rsid w:val="76E761E8"/>
    <w:rsid w:val="76E91BE4"/>
    <w:rsid w:val="770608ED"/>
    <w:rsid w:val="7709593C"/>
    <w:rsid w:val="77253DF8"/>
    <w:rsid w:val="77550B81"/>
    <w:rsid w:val="77976AA4"/>
    <w:rsid w:val="77A455EA"/>
    <w:rsid w:val="77F2017E"/>
    <w:rsid w:val="77F35CA4"/>
    <w:rsid w:val="78220194"/>
    <w:rsid w:val="78236589"/>
    <w:rsid w:val="782A2065"/>
    <w:rsid w:val="78945FC5"/>
    <w:rsid w:val="78C8431B"/>
    <w:rsid w:val="78CE0BEB"/>
    <w:rsid w:val="790243F1"/>
    <w:rsid w:val="799560A0"/>
    <w:rsid w:val="79B9475B"/>
    <w:rsid w:val="7A4E293E"/>
    <w:rsid w:val="7B2014A6"/>
    <w:rsid w:val="7B876E2F"/>
    <w:rsid w:val="7BC175CE"/>
    <w:rsid w:val="7CA51C63"/>
    <w:rsid w:val="7CC32169"/>
    <w:rsid w:val="7D1B0177"/>
    <w:rsid w:val="7D9F0FC2"/>
    <w:rsid w:val="7E490D14"/>
    <w:rsid w:val="7EB26886"/>
    <w:rsid w:val="7EB76914"/>
    <w:rsid w:val="7EBB5B86"/>
    <w:rsid w:val="7FBB179D"/>
    <w:rsid w:val="7FBE4DE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qFormat="1" w:unhideWhenUsed="0" w:uiPriority="0" w:name="index 1"/>
    <w:lsdException w:qFormat="1" w:unhideWhenUsed="0" w:uiPriority="0" w:name="index 2"/>
    <w:lsdException w:qFormat="1" w:unhideWhenUsed="0" w:uiPriority="0" w:name="index 3"/>
    <w:lsdException w:qFormat="1" w:unhideWhenUsed="0" w:uiPriority="0" w:name="index 4"/>
    <w:lsdException w:qFormat="1" w:unhideWhenUsed="0" w:uiPriority="0" w:name="index 5"/>
    <w:lsdException w:qFormat="1" w:unhideWhenUsed="0" w:uiPriority="0" w:name="index 6"/>
    <w:lsdException w:qFormat="1" w:unhideWhenUsed="0" w:uiPriority="0" w:name="index 7"/>
    <w:lsdException w:qFormat="1" w:unhideWhenUsed="0" w:uiPriority="0" w:name="index 8"/>
    <w:lsdException w:qFormat="1" w:unhideWhenUsed="0" w:uiPriority="0" w:name="index 9"/>
    <w:lsdException w:qFormat="1" w:unhideWhenUsed="0" w:uiPriority="39" w:semiHidden="0" w:name="toc 1"/>
    <w:lsdException w:qFormat="1" w:unhideWhenUsed="0" w:uiPriority="39" w:semiHidden="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qFormat="1" w:unhideWhenUsed="0" w:uiPriority="0" w:name="index heading"/>
    <w:lsdException w:qFormat="1" w:unhideWhenUsed="0" w:uiPriority="35" w:semiHidden="0" w:name="caption"/>
    <w:lsdException w:qFormat="1" w:unhideWhenUsed="0" w:uiPriority="0" w:name="table of figures"/>
    <w:lsdException w:uiPriority="0" w:name="envelope address"/>
    <w:lsdException w:qFormat="1" w:uiPriority="99" w:semiHidden="0" w:name="envelope return"/>
    <w:lsdException w:uiPriority="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qFormat="1"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iPriority="99" w:semiHidden="0" w:name="Body Text First Indent 2"/>
    <w:lsdException w:uiPriority="0" w:name="Note Heading"/>
    <w:lsdException w:uiPriority="0" w:name="Body Text 2"/>
    <w:lsdException w:uiPriority="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0" w:name="E-mail Signature"/>
    <w:lsdException w:qFormat="1" w:unhideWhenUsed="0" w:uiPriority="99" w:semiHidden="0" w:name="Normal (Web)"/>
    <w:lsdException w:qFormat="1" w:uiPriority="0" w:name="HTML Acronym"/>
    <w:lsdException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semiHidden="0" w:name="HTML Preformatted"/>
    <w:lsdException w:qFormat="1" w:uiPriority="0" w:name="HTML Sample"/>
    <w:lsdException w:qFormat="1" w:uiPriority="0" w:name="HTML Typewriter"/>
    <w:lsdException w:qFormat="1"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Times New Roman"/>
      <w:kern w:val="2"/>
      <w:sz w:val="21"/>
      <w:lang w:val="en-US" w:eastAsia="zh-CN" w:bidi="ar-SA"/>
    </w:rPr>
  </w:style>
  <w:style w:type="paragraph" w:styleId="2">
    <w:name w:val="heading 1"/>
    <w:basedOn w:val="1"/>
    <w:next w:val="1"/>
    <w:link w:val="75"/>
    <w:autoRedefine/>
    <w:qFormat/>
    <w:uiPriority w:val="0"/>
    <w:pPr>
      <w:keepNext/>
      <w:tabs>
        <w:tab w:val="left" w:pos="200"/>
      </w:tabs>
      <w:jc w:val="center"/>
      <w:outlineLvl w:val="0"/>
    </w:pPr>
    <w:rPr>
      <w:rFonts w:ascii="宋体" w:hAnsi="宋体"/>
      <w:b/>
      <w:sz w:val="36"/>
    </w:rPr>
  </w:style>
  <w:style w:type="paragraph" w:styleId="3">
    <w:name w:val="heading 2"/>
    <w:basedOn w:val="1"/>
    <w:next w:val="1"/>
    <w:link w:val="76"/>
    <w:autoRedefine/>
    <w:qFormat/>
    <w:uiPriority w:val="0"/>
    <w:pPr>
      <w:keepNext/>
      <w:jc w:val="center"/>
      <w:outlineLvl w:val="1"/>
    </w:pPr>
    <w:rPr>
      <w:rFonts w:eastAsia="楷体_GB2312"/>
      <w:b/>
      <w:bCs/>
      <w:sz w:val="28"/>
      <w:szCs w:val="28"/>
    </w:rPr>
  </w:style>
  <w:style w:type="paragraph" w:styleId="4">
    <w:name w:val="heading 3"/>
    <w:basedOn w:val="1"/>
    <w:next w:val="1"/>
    <w:link w:val="77"/>
    <w:autoRedefine/>
    <w:qFormat/>
    <w:uiPriority w:val="9"/>
    <w:pPr>
      <w:keepNext/>
      <w:jc w:val="center"/>
      <w:outlineLvl w:val="2"/>
    </w:pPr>
    <w:rPr>
      <w:rFonts w:ascii="宋体" w:hAnsi="宋体"/>
      <w:sz w:val="28"/>
    </w:rPr>
  </w:style>
  <w:style w:type="paragraph" w:styleId="5">
    <w:name w:val="heading 4"/>
    <w:basedOn w:val="1"/>
    <w:next w:val="1"/>
    <w:link w:val="78"/>
    <w:autoRedefine/>
    <w:qFormat/>
    <w:uiPriority w:val="9"/>
    <w:pPr>
      <w:keepNext/>
      <w:outlineLvl w:val="3"/>
    </w:pPr>
    <w:rPr>
      <w:b/>
      <w:bCs/>
      <w:sz w:val="18"/>
    </w:rPr>
  </w:style>
  <w:style w:type="paragraph" w:styleId="6">
    <w:name w:val="heading 5"/>
    <w:basedOn w:val="1"/>
    <w:next w:val="1"/>
    <w:link w:val="79"/>
    <w:autoRedefine/>
    <w:qFormat/>
    <w:uiPriority w:val="9"/>
    <w:pPr>
      <w:keepNext/>
      <w:jc w:val="center"/>
      <w:outlineLvl w:val="4"/>
    </w:pPr>
    <w:rPr>
      <w:b/>
      <w:bCs/>
      <w:sz w:val="18"/>
    </w:rPr>
  </w:style>
  <w:style w:type="paragraph" w:styleId="7">
    <w:name w:val="heading 6"/>
    <w:basedOn w:val="1"/>
    <w:next w:val="1"/>
    <w:link w:val="80"/>
    <w:autoRedefine/>
    <w:qFormat/>
    <w:uiPriority w:val="9"/>
    <w:pPr>
      <w:keepNext/>
      <w:keepLines/>
      <w:widowControl/>
      <w:spacing w:before="120" w:line="252" w:lineRule="auto"/>
      <w:outlineLvl w:val="5"/>
    </w:pPr>
    <w:rPr>
      <w:rFonts w:ascii="Calibri Light" w:hAnsi="Calibri Light"/>
      <w:b/>
      <w:bCs/>
      <w:i/>
      <w:iCs/>
      <w:kern w:val="0"/>
      <w:sz w:val="20"/>
    </w:rPr>
  </w:style>
  <w:style w:type="paragraph" w:styleId="8">
    <w:name w:val="heading 7"/>
    <w:basedOn w:val="1"/>
    <w:next w:val="1"/>
    <w:link w:val="81"/>
    <w:autoRedefine/>
    <w:qFormat/>
    <w:uiPriority w:val="9"/>
    <w:pPr>
      <w:keepNext/>
      <w:keepLines/>
      <w:widowControl/>
      <w:spacing w:before="120" w:line="252" w:lineRule="auto"/>
      <w:outlineLvl w:val="6"/>
    </w:pPr>
    <w:rPr>
      <w:i/>
      <w:iCs/>
      <w:kern w:val="0"/>
      <w:sz w:val="20"/>
    </w:rPr>
  </w:style>
  <w:style w:type="paragraph" w:styleId="9">
    <w:name w:val="heading 8"/>
    <w:basedOn w:val="1"/>
    <w:next w:val="1"/>
    <w:link w:val="82"/>
    <w:autoRedefine/>
    <w:qFormat/>
    <w:uiPriority w:val="9"/>
    <w:pPr>
      <w:keepNext/>
      <w:keepLines/>
      <w:widowControl/>
      <w:spacing w:before="120" w:line="252" w:lineRule="auto"/>
      <w:outlineLvl w:val="7"/>
    </w:pPr>
    <w:rPr>
      <w:b/>
      <w:bCs/>
      <w:kern w:val="0"/>
      <w:sz w:val="20"/>
    </w:rPr>
  </w:style>
  <w:style w:type="paragraph" w:styleId="10">
    <w:name w:val="heading 9"/>
    <w:basedOn w:val="1"/>
    <w:next w:val="1"/>
    <w:link w:val="83"/>
    <w:autoRedefine/>
    <w:qFormat/>
    <w:uiPriority w:val="9"/>
    <w:pPr>
      <w:keepNext/>
      <w:keepLines/>
      <w:widowControl/>
      <w:spacing w:before="120" w:line="252" w:lineRule="auto"/>
      <w:outlineLvl w:val="8"/>
    </w:pPr>
    <w:rPr>
      <w:i/>
      <w:iCs/>
      <w:kern w:val="0"/>
      <w:sz w:val="20"/>
    </w:rPr>
  </w:style>
  <w:style w:type="character" w:default="1" w:styleId="56">
    <w:name w:val="Default Paragraph Font"/>
    <w:semiHidden/>
    <w:unhideWhenUsed/>
    <w:qFormat/>
    <w:uiPriority w:val="1"/>
  </w:style>
  <w:style w:type="table" w:default="1" w:styleId="54">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autoRedefine/>
    <w:semiHidden/>
    <w:qFormat/>
    <w:uiPriority w:val="0"/>
    <w:pPr>
      <w:ind w:left="1260"/>
      <w:jc w:val="left"/>
    </w:pPr>
    <w:rPr>
      <w:szCs w:val="21"/>
    </w:rPr>
  </w:style>
  <w:style w:type="paragraph" w:styleId="12">
    <w:name w:val="index 8"/>
    <w:basedOn w:val="1"/>
    <w:next w:val="1"/>
    <w:autoRedefine/>
    <w:semiHidden/>
    <w:qFormat/>
    <w:uiPriority w:val="0"/>
    <w:pPr>
      <w:ind w:left="1400" w:leftChars="1400"/>
    </w:pPr>
  </w:style>
  <w:style w:type="paragraph" w:styleId="13">
    <w:name w:val="Normal Indent"/>
    <w:basedOn w:val="1"/>
    <w:link w:val="84"/>
    <w:autoRedefine/>
    <w:qFormat/>
    <w:uiPriority w:val="0"/>
    <w:pPr>
      <w:ind w:firstLine="420"/>
    </w:pPr>
  </w:style>
  <w:style w:type="paragraph" w:styleId="14">
    <w:name w:val="caption"/>
    <w:basedOn w:val="1"/>
    <w:next w:val="1"/>
    <w:autoRedefine/>
    <w:qFormat/>
    <w:uiPriority w:val="35"/>
    <w:pPr>
      <w:widowControl/>
      <w:spacing w:after="160" w:line="252" w:lineRule="auto"/>
    </w:pPr>
    <w:rPr>
      <w:b/>
      <w:bCs/>
      <w:kern w:val="0"/>
      <w:sz w:val="18"/>
      <w:szCs w:val="18"/>
    </w:rPr>
  </w:style>
  <w:style w:type="paragraph" w:styleId="15">
    <w:name w:val="index 5"/>
    <w:basedOn w:val="1"/>
    <w:next w:val="1"/>
    <w:autoRedefine/>
    <w:semiHidden/>
    <w:qFormat/>
    <w:uiPriority w:val="0"/>
    <w:pPr>
      <w:ind w:left="800" w:leftChars="800"/>
    </w:pPr>
  </w:style>
  <w:style w:type="paragraph" w:styleId="16">
    <w:name w:val="Document Map"/>
    <w:basedOn w:val="1"/>
    <w:link w:val="85"/>
    <w:autoRedefine/>
    <w:semiHidden/>
    <w:qFormat/>
    <w:uiPriority w:val="0"/>
    <w:pPr>
      <w:shd w:val="clear" w:color="auto" w:fill="000080"/>
    </w:pPr>
  </w:style>
  <w:style w:type="paragraph" w:styleId="17">
    <w:name w:val="annotation text"/>
    <w:basedOn w:val="1"/>
    <w:link w:val="86"/>
    <w:autoRedefine/>
    <w:qFormat/>
    <w:uiPriority w:val="0"/>
    <w:pPr>
      <w:jc w:val="left"/>
    </w:pPr>
  </w:style>
  <w:style w:type="paragraph" w:styleId="18">
    <w:name w:val="index 6"/>
    <w:basedOn w:val="1"/>
    <w:next w:val="1"/>
    <w:autoRedefine/>
    <w:semiHidden/>
    <w:qFormat/>
    <w:uiPriority w:val="0"/>
    <w:pPr>
      <w:ind w:left="1000" w:leftChars="1000"/>
    </w:pPr>
  </w:style>
  <w:style w:type="paragraph" w:styleId="19">
    <w:name w:val="Body Text"/>
    <w:basedOn w:val="1"/>
    <w:next w:val="20"/>
    <w:link w:val="87"/>
    <w:autoRedefine/>
    <w:qFormat/>
    <w:uiPriority w:val="99"/>
    <w:rPr>
      <w:rFonts w:ascii="楷体_GB2312" w:hAnsi="Arial" w:eastAsia="楷体_GB2312"/>
      <w:sz w:val="28"/>
    </w:rPr>
  </w:style>
  <w:style w:type="paragraph" w:styleId="20">
    <w:name w:val="Body Text First Indent"/>
    <w:basedOn w:val="19"/>
    <w:next w:val="21"/>
    <w:link w:val="156"/>
    <w:autoRedefine/>
    <w:unhideWhenUsed/>
    <w:qFormat/>
    <w:uiPriority w:val="99"/>
    <w:pPr>
      <w:spacing w:after="120"/>
      <w:ind w:firstLine="420" w:firstLineChars="100"/>
    </w:pPr>
    <w:rPr>
      <w:rFonts w:ascii="Calibri" w:hAnsi="Calibri" w:eastAsia="宋体"/>
      <w:sz w:val="21"/>
    </w:rPr>
  </w:style>
  <w:style w:type="paragraph" w:styleId="21">
    <w:name w:val="Body Text First Indent 2"/>
    <w:basedOn w:val="22"/>
    <w:next w:val="20"/>
    <w:autoRedefine/>
    <w:unhideWhenUsed/>
    <w:qFormat/>
    <w:uiPriority w:val="99"/>
    <w:pPr>
      <w:spacing w:after="120"/>
      <w:ind w:left="420" w:leftChars="200" w:firstLine="420" w:firstLineChars="200"/>
    </w:pPr>
    <w:rPr>
      <w:rFonts w:ascii="Calibri"/>
      <w:kern w:val="2"/>
      <w:sz w:val="21"/>
    </w:rPr>
  </w:style>
  <w:style w:type="paragraph" w:styleId="22">
    <w:name w:val="Body Text Indent"/>
    <w:basedOn w:val="1"/>
    <w:next w:val="23"/>
    <w:link w:val="88"/>
    <w:autoRedefine/>
    <w:qFormat/>
    <w:uiPriority w:val="0"/>
    <w:pPr>
      <w:adjustRightInd w:val="0"/>
      <w:spacing w:line="312" w:lineRule="atLeast"/>
      <w:ind w:firstLine="574"/>
      <w:textAlignment w:val="baseline"/>
    </w:pPr>
    <w:rPr>
      <w:rFonts w:ascii="宋体"/>
      <w:kern w:val="0"/>
      <w:sz w:val="28"/>
    </w:rPr>
  </w:style>
  <w:style w:type="paragraph" w:styleId="23">
    <w:name w:val="envelope return"/>
    <w:basedOn w:val="1"/>
    <w:autoRedefine/>
    <w:unhideWhenUsed/>
    <w:qFormat/>
    <w:uiPriority w:val="99"/>
    <w:pPr>
      <w:snapToGrid w:val="0"/>
    </w:pPr>
    <w:rPr>
      <w:rFonts w:ascii="Arial" w:hAnsi="Arial"/>
    </w:rPr>
  </w:style>
  <w:style w:type="paragraph" w:styleId="24">
    <w:name w:val="Block Text"/>
    <w:basedOn w:val="1"/>
    <w:autoRedefine/>
    <w:qFormat/>
    <w:uiPriority w:val="0"/>
    <w:pPr>
      <w:tabs>
        <w:tab w:val="left" w:pos="822"/>
        <w:tab w:val="left" w:pos="2205"/>
        <w:tab w:val="left" w:pos="9000"/>
      </w:tabs>
      <w:adjustRightInd w:val="0"/>
      <w:snapToGrid w:val="0"/>
      <w:spacing w:before="89"/>
      <w:ind w:left="1890" w:leftChars="229" w:right="11" w:hanging="1409" w:hangingChars="587"/>
    </w:pPr>
    <w:rPr>
      <w:sz w:val="24"/>
    </w:rPr>
  </w:style>
  <w:style w:type="paragraph" w:styleId="25">
    <w:name w:val="index 4"/>
    <w:basedOn w:val="1"/>
    <w:next w:val="1"/>
    <w:autoRedefine/>
    <w:semiHidden/>
    <w:qFormat/>
    <w:uiPriority w:val="0"/>
    <w:pPr>
      <w:ind w:left="600" w:leftChars="600"/>
    </w:pPr>
  </w:style>
  <w:style w:type="paragraph" w:styleId="26">
    <w:name w:val="toc 5"/>
    <w:basedOn w:val="1"/>
    <w:next w:val="1"/>
    <w:autoRedefine/>
    <w:semiHidden/>
    <w:qFormat/>
    <w:uiPriority w:val="0"/>
    <w:pPr>
      <w:ind w:left="840"/>
      <w:jc w:val="left"/>
    </w:pPr>
    <w:rPr>
      <w:szCs w:val="21"/>
    </w:rPr>
  </w:style>
  <w:style w:type="paragraph" w:styleId="27">
    <w:name w:val="toc 3"/>
    <w:basedOn w:val="1"/>
    <w:next w:val="1"/>
    <w:autoRedefine/>
    <w:semiHidden/>
    <w:qFormat/>
    <w:uiPriority w:val="0"/>
    <w:pPr>
      <w:ind w:left="420"/>
      <w:jc w:val="left"/>
    </w:pPr>
    <w:rPr>
      <w:i/>
      <w:iCs/>
      <w:szCs w:val="24"/>
    </w:rPr>
  </w:style>
  <w:style w:type="paragraph" w:styleId="28">
    <w:name w:val="Plain Text"/>
    <w:basedOn w:val="1"/>
    <w:link w:val="89"/>
    <w:autoRedefine/>
    <w:qFormat/>
    <w:uiPriority w:val="0"/>
    <w:rPr>
      <w:rFonts w:ascii="宋体" w:hAnsi="Courier New"/>
    </w:rPr>
  </w:style>
  <w:style w:type="paragraph" w:styleId="29">
    <w:name w:val="toc 8"/>
    <w:basedOn w:val="1"/>
    <w:next w:val="1"/>
    <w:autoRedefine/>
    <w:semiHidden/>
    <w:qFormat/>
    <w:uiPriority w:val="0"/>
    <w:pPr>
      <w:ind w:left="1470"/>
      <w:jc w:val="left"/>
    </w:pPr>
    <w:rPr>
      <w:szCs w:val="21"/>
    </w:rPr>
  </w:style>
  <w:style w:type="paragraph" w:styleId="30">
    <w:name w:val="index 3"/>
    <w:basedOn w:val="1"/>
    <w:next w:val="1"/>
    <w:autoRedefine/>
    <w:semiHidden/>
    <w:qFormat/>
    <w:uiPriority w:val="0"/>
    <w:pPr>
      <w:ind w:left="400" w:leftChars="400"/>
    </w:pPr>
  </w:style>
  <w:style w:type="paragraph" w:styleId="31">
    <w:name w:val="Date"/>
    <w:basedOn w:val="1"/>
    <w:next w:val="1"/>
    <w:link w:val="90"/>
    <w:autoRedefine/>
    <w:qFormat/>
    <w:uiPriority w:val="0"/>
    <w:pPr>
      <w:adjustRightInd w:val="0"/>
      <w:spacing w:line="312" w:lineRule="atLeast"/>
      <w:textAlignment w:val="baseline"/>
    </w:pPr>
    <w:rPr>
      <w:rFonts w:ascii="宋体"/>
      <w:kern w:val="0"/>
      <w:sz w:val="28"/>
    </w:rPr>
  </w:style>
  <w:style w:type="paragraph" w:styleId="32">
    <w:name w:val="Body Text Indent 2"/>
    <w:basedOn w:val="1"/>
    <w:link w:val="91"/>
    <w:autoRedefine/>
    <w:qFormat/>
    <w:uiPriority w:val="0"/>
    <w:pPr>
      <w:tabs>
        <w:tab w:val="left" w:pos="1785"/>
        <w:tab w:val="left" w:pos="1887"/>
        <w:tab w:val="left" w:pos="2112"/>
        <w:tab w:val="left" w:pos="9000"/>
      </w:tabs>
      <w:adjustRightInd w:val="0"/>
      <w:snapToGrid w:val="0"/>
      <w:ind w:left="1890" w:leftChars="229" w:hanging="1409" w:hangingChars="587"/>
    </w:pPr>
    <w:rPr>
      <w:sz w:val="24"/>
    </w:rPr>
  </w:style>
  <w:style w:type="paragraph" w:styleId="33">
    <w:name w:val="Balloon Text"/>
    <w:basedOn w:val="1"/>
    <w:link w:val="92"/>
    <w:autoRedefine/>
    <w:qFormat/>
    <w:uiPriority w:val="0"/>
    <w:rPr>
      <w:sz w:val="18"/>
      <w:szCs w:val="18"/>
    </w:rPr>
  </w:style>
  <w:style w:type="paragraph" w:styleId="34">
    <w:name w:val="footer"/>
    <w:basedOn w:val="1"/>
    <w:link w:val="93"/>
    <w:autoRedefine/>
    <w:qFormat/>
    <w:uiPriority w:val="0"/>
    <w:pPr>
      <w:tabs>
        <w:tab w:val="center" w:pos="4153"/>
        <w:tab w:val="right" w:pos="8306"/>
      </w:tabs>
      <w:snapToGrid w:val="0"/>
      <w:jc w:val="left"/>
    </w:pPr>
    <w:rPr>
      <w:sz w:val="18"/>
    </w:rPr>
  </w:style>
  <w:style w:type="paragraph" w:styleId="35">
    <w:name w:val="header"/>
    <w:basedOn w:val="1"/>
    <w:link w:val="94"/>
    <w:autoRedefine/>
    <w:qFormat/>
    <w:uiPriority w:val="99"/>
    <w:pPr>
      <w:pBdr>
        <w:bottom w:val="single" w:color="auto" w:sz="6" w:space="1"/>
      </w:pBdr>
      <w:tabs>
        <w:tab w:val="center" w:pos="4153"/>
        <w:tab w:val="right" w:pos="8306"/>
      </w:tabs>
      <w:snapToGrid w:val="0"/>
      <w:jc w:val="center"/>
    </w:pPr>
    <w:rPr>
      <w:sz w:val="18"/>
    </w:rPr>
  </w:style>
  <w:style w:type="paragraph" w:styleId="36">
    <w:name w:val="Signature"/>
    <w:basedOn w:val="1"/>
    <w:link w:val="95"/>
    <w:autoRedefine/>
    <w:qFormat/>
    <w:uiPriority w:val="0"/>
    <w:pPr>
      <w:adjustRightInd w:val="0"/>
      <w:spacing w:after="600" w:line="312" w:lineRule="atLeast"/>
      <w:jc w:val="center"/>
      <w:textAlignment w:val="baseline"/>
    </w:pPr>
    <w:rPr>
      <w:rFonts w:eastAsia="仿宋_GB2312"/>
      <w:kern w:val="0"/>
      <w:sz w:val="24"/>
    </w:rPr>
  </w:style>
  <w:style w:type="paragraph" w:styleId="37">
    <w:name w:val="toc 1"/>
    <w:basedOn w:val="1"/>
    <w:next w:val="1"/>
    <w:autoRedefine/>
    <w:qFormat/>
    <w:uiPriority w:val="39"/>
    <w:pPr>
      <w:tabs>
        <w:tab w:val="right" w:leader="dot" w:pos="9450"/>
      </w:tabs>
      <w:spacing w:before="100" w:beforeAutospacing="1" w:after="100" w:afterAutospacing="1" w:line="360" w:lineRule="exact"/>
      <w:ind w:left="210" w:leftChars="100"/>
    </w:pPr>
    <w:rPr>
      <w:b/>
      <w:bCs/>
      <w:caps/>
      <w:sz w:val="28"/>
      <w:szCs w:val="36"/>
    </w:rPr>
  </w:style>
  <w:style w:type="paragraph" w:styleId="38">
    <w:name w:val="toc 4"/>
    <w:basedOn w:val="1"/>
    <w:next w:val="1"/>
    <w:autoRedefine/>
    <w:semiHidden/>
    <w:qFormat/>
    <w:uiPriority w:val="0"/>
    <w:pPr>
      <w:ind w:left="630"/>
      <w:jc w:val="left"/>
    </w:pPr>
    <w:rPr>
      <w:szCs w:val="21"/>
    </w:rPr>
  </w:style>
  <w:style w:type="paragraph" w:styleId="39">
    <w:name w:val="index heading"/>
    <w:basedOn w:val="1"/>
    <w:next w:val="40"/>
    <w:autoRedefine/>
    <w:semiHidden/>
    <w:qFormat/>
    <w:uiPriority w:val="0"/>
  </w:style>
  <w:style w:type="paragraph" w:styleId="40">
    <w:name w:val="index 1"/>
    <w:basedOn w:val="1"/>
    <w:next w:val="1"/>
    <w:autoRedefine/>
    <w:semiHidden/>
    <w:qFormat/>
    <w:uiPriority w:val="0"/>
  </w:style>
  <w:style w:type="paragraph" w:styleId="41">
    <w:name w:val="Subtitle"/>
    <w:basedOn w:val="1"/>
    <w:next w:val="1"/>
    <w:link w:val="96"/>
    <w:autoRedefine/>
    <w:qFormat/>
    <w:uiPriority w:val="11"/>
    <w:pPr>
      <w:widowControl/>
      <w:spacing w:after="240" w:line="252" w:lineRule="auto"/>
      <w:jc w:val="center"/>
    </w:pPr>
    <w:rPr>
      <w:rFonts w:ascii="Calibri Light" w:hAnsi="Calibri Light"/>
      <w:kern w:val="0"/>
      <w:sz w:val="24"/>
      <w:szCs w:val="24"/>
    </w:rPr>
  </w:style>
  <w:style w:type="paragraph" w:styleId="42">
    <w:name w:val="toc 6"/>
    <w:basedOn w:val="1"/>
    <w:next w:val="1"/>
    <w:autoRedefine/>
    <w:semiHidden/>
    <w:qFormat/>
    <w:uiPriority w:val="0"/>
    <w:pPr>
      <w:ind w:left="1050"/>
      <w:jc w:val="left"/>
    </w:pPr>
    <w:rPr>
      <w:szCs w:val="21"/>
    </w:rPr>
  </w:style>
  <w:style w:type="paragraph" w:styleId="43">
    <w:name w:val="Body Text Indent 3"/>
    <w:basedOn w:val="1"/>
    <w:link w:val="97"/>
    <w:autoRedefine/>
    <w:qFormat/>
    <w:uiPriority w:val="0"/>
    <w:pPr>
      <w:ind w:firstLine="555"/>
    </w:pPr>
    <w:rPr>
      <w:b/>
      <w:bCs/>
      <w:sz w:val="28"/>
      <w:u w:val="single"/>
    </w:rPr>
  </w:style>
  <w:style w:type="paragraph" w:styleId="44">
    <w:name w:val="index 7"/>
    <w:basedOn w:val="1"/>
    <w:next w:val="1"/>
    <w:autoRedefine/>
    <w:semiHidden/>
    <w:qFormat/>
    <w:uiPriority w:val="0"/>
    <w:pPr>
      <w:ind w:left="1200" w:leftChars="1200"/>
    </w:pPr>
  </w:style>
  <w:style w:type="paragraph" w:styleId="45">
    <w:name w:val="index 9"/>
    <w:basedOn w:val="1"/>
    <w:next w:val="1"/>
    <w:autoRedefine/>
    <w:semiHidden/>
    <w:qFormat/>
    <w:uiPriority w:val="0"/>
    <w:pPr>
      <w:ind w:left="1600" w:leftChars="1600"/>
    </w:pPr>
  </w:style>
  <w:style w:type="paragraph" w:styleId="46">
    <w:name w:val="table of figures"/>
    <w:basedOn w:val="1"/>
    <w:next w:val="1"/>
    <w:autoRedefine/>
    <w:semiHidden/>
    <w:qFormat/>
    <w:uiPriority w:val="0"/>
    <w:pPr>
      <w:ind w:left="840" w:leftChars="200" w:hanging="420" w:hangingChars="200"/>
    </w:pPr>
  </w:style>
  <w:style w:type="paragraph" w:styleId="47">
    <w:name w:val="toc 2"/>
    <w:basedOn w:val="1"/>
    <w:next w:val="1"/>
    <w:autoRedefine/>
    <w:qFormat/>
    <w:uiPriority w:val="39"/>
    <w:pPr>
      <w:tabs>
        <w:tab w:val="right" w:leader="dot" w:pos="9450"/>
      </w:tabs>
      <w:spacing w:line="400" w:lineRule="exact"/>
      <w:ind w:left="250" w:leftChars="250"/>
      <w:jc w:val="left"/>
    </w:pPr>
    <w:rPr>
      <w:bCs/>
      <w:smallCaps/>
      <w:sz w:val="24"/>
      <w:szCs w:val="24"/>
    </w:rPr>
  </w:style>
  <w:style w:type="paragraph" w:styleId="48">
    <w:name w:val="toc 9"/>
    <w:basedOn w:val="1"/>
    <w:next w:val="1"/>
    <w:autoRedefine/>
    <w:semiHidden/>
    <w:qFormat/>
    <w:uiPriority w:val="0"/>
    <w:pPr>
      <w:ind w:left="1680"/>
      <w:jc w:val="left"/>
    </w:pPr>
    <w:rPr>
      <w:szCs w:val="21"/>
    </w:rPr>
  </w:style>
  <w:style w:type="paragraph" w:styleId="49">
    <w:name w:val="HTML Preformatted"/>
    <w:basedOn w:val="1"/>
    <w:link w:val="98"/>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szCs w:val="24"/>
    </w:rPr>
  </w:style>
  <w:style w:type="paragraph" w:styleId="50">
    <w:name w:val="Normal (Web)"/>
    <w:basedOn w:val="1"/>
    <w:autoRedefine/>
    <w:qFormat/>
    <w:uiPriority w:val="99"/>
    <w:pPr>
      <w:widowControl/>
      <w:spacing w:before="100" w:beforeAutospacing="1" w:after="100" w:afterAutospacing="1"/>
      <w:jc w:val="left"/>
    </w:pPr>
    <w:rPr>
      <w:rFonts w:ascii="宋体" w:hAnsi="宋体" w:cs="宋体"/>
      <w:kern w:val="0"/>
      <w:sz w:val="24"/>
      <w:szCs w:val="24"/>
    </w:rPr>
  </w:style>
  <w:style w:type="paragraph" w:styleId="51">
    <w:name w:val="index 2"/>
    <w:basedOn w:val="1"/>
    <w:next w:val="1"/>
    <w:autoRedefine/>
    <w:semiHidden/>
    <w:qFormat/>
    <w:uiPriority w:val="0"/>
    <w:pPr>
      <w:ind w:left="200" w:leftChars="200"/>
    </w:pPr>
  </w:style>
  <w:style w:type="paragraph" w:styleId="52">
    <w:name w:val="Title"/>
    <w:basedOn w:val="1"/>
    <w:next w:val="1"/>
    <w:link w:val="99"/>
    <w:autoRedefine/>
    <w:qFormat/>
    <w:uiPriority w:val="10"/>
    <w:pPr>
      <w:widowControl/>
      <w:contextualSpacing/>
      <w:jc w:val="center"/>
    </w:pPr>
    <w:rPr>
      <w:rFonts w:ascii="Calibri Light" w:hAnsi="Calibri Light"/>
      <w:b/>
      <w:bCs/>
      <w:spacing w:val="-7"/>
      <w:kern w:val="0"/>
      <w:sz w:val="48"/>
      <w:szCs w:val="48"/>
    </w:rPr>
  </w:style>
  <w:style w:type="paragraph" w:styleId="53">
    <w:name w:val="annotation subject"/>
    <w:basedOn w:val="17"/>
    <w:next w:val="17"/>
    <w:link w:val="100"/>
    <w:autoRedefine/>
    <w:qFormat/>
    <w:uiPriority w:val="0"/>
    <w:rPr>
      <w:b/>
      <w:bCs/>
    </w:rPr>
  </w:style>
  <w:style w:type="table" w:styleId="55">
    <w:name w:val="Table Grid"/>
    <w:basedOn w:val="54"/>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7">
    <w:name w:val="Strong"/>
    <w:autoRedefine/>
    <w:qFormat/>
    <w:uiPriority w:val="22"/>
    <w:rPr>
      <w:b/>
      <w:bCs/>
    </w:rPr>
  </w:style>
  <w:style w:type="character" w:styleId="58">
    <w:name w:val="page number"/>
    <w:autoRedefine/>
    <w:qFormat/>
    <w:uiPriority w:val="0"/>
  </w:style>
  <w:style w:type="character" w:styleId="59">
    <w:name w:val="FollowedHyperlink"/>
    <w:autoRedefine/>
    <w:qFormat/>
    <w:uiPriority w:val="0"/>
    <w:rPr>
      <w:color w:val="800080"/>
      <w:u w:val="single"/>
    </w:rPr>
  </w:style>
  <w:style w:type="character" w:styleId="60">
    <w:name w:val="Emphasis"/>
    <w:autoRedefine/>
    <w:qFormat/>
    <w:uiPriority w:val="20"/>
    <w:rPr>
      <w:i/>
      <w:iCs/>
    </w:rPr>
  </w:style>
  <w:style w:type="character" w:styleId="61">
    <w:name w:val="line number"/>
    <w:autoRedefine/>
    <w:qFormat/>
    <w:uiPriority w:val="0"/>
  </w:style>
  <w:style w:type="character" w:styleId="62">
    <w:name w:val="HTML Definition"/>
    <w:basedOn w:val="56"/>
    <w:autoRedefine/>
    <w:semiHidden/>
    <w:unhideWhenUsed/>
    <w:qFormat/>
    <w:uiPriority w:val="0"/>
  </w:style>
  <w:style w:type="character" w:styleId="63">
    <w:name w:val="HTML Typewriter"/>
    <w:basedOn w:val="56"/>
    <w:autoRedefine/>
    <w:semiHidden/>
    <w:unhideWhenUsed/>
    <w:qFormat/>
    <w:uiPriority w:val="0"/>
    <w:rPr>
      <w:rFonts w:hint="default" w:ascii="monospace" w:hAnsi="monospace" w:eastAsia="monospace" w:cs="monospace"/>
      <w:sz w:val="20"/>
    </w:rPr>
  </w:style>
  <w:style w:type="character" w:styleId="64">
    <w:name w:val="HTML Acronym"/>
    <w:basedOn w:val="56"/>
    <w:autoRedefine/>
    <w:semiHidden/>
    <w:unhideWhenUsed/>
    <w:qFormat/>
    <w:uiPriority w:val="0"/>
  </w:style>
  <w:style w:type="character" w:styleId="65">
    <w:name w:val="HTML Variable"/>
    <w:basedOn w:val="56"/>
    <w:autoRedefine/>
    <w:semiHidden/>
    <w:unhideWhenUsed/>
    <w:qFormat/>
    <w:uiPriority w:val="0"/>
  </w:style>
  <w:style w:type="character" w:styleId="66">
    <w:name w:val="Hyperlink"/>
    <w:autoRedefine/>
    <w:qFormat/>
    <w:uiPriority w:val="99"/>
    <w:rPr>
      <w:color w:val="0000FF"/>
      <w:u w:val="single"/>
    </w:rPr>
  </w:style>
  <w:style w:type="character" w:styleId="67">
    <w:name w:val="HTML Code"/>
    <w:basedOn w:val="56"/>
    <w:autoRedefine/>
    <w:semiHidden/>
    <w:unhideWhenUsed/>
    <w:qFormat/>
    <w:uiPriority w:val="0"/>
    <w:rPr>
      <w:rFonts w:hint="default" w:ascii="monospace" w:hAnsi="monospace" w:eastAsia="monospace" w:cs="monospace"/>
      <w:sz w:val="20"/>
      <w:bdr w:val="single" w:color="EBEBEB" w:sz="2" w:space="0"/>
    </w:rPr>
  </w:style>
  <w:style w:type="character" w:styleId="68">
    <w:name w:val="annotation reference"/>
    <w:autoRedefine/>
    <w:qFormat/>
    <w:uiPriority w:val="0"/>
    <w:rPr>
      <w:sz w:val="21"/>
      <w:szCs w:val="21"/>
    </w:rPr>
  </w:style>
  <w:style w:type="character" w:styleId="69">
    <w:name w:val="HTML Cite"/>
    <w:basedOn w:val="56"/>
    <w:autoRedefine/>
    <w:semiHidden/>
    <w:unhideWhenUsed/>
    <w:qFormat/>
    <w:uiPriority w:val="0"/>
  </w:style>
  <w:style w:type="character" w:styleId="70">
    <w:name w:val="HTML Keyboard"/>
    <w:basedOn w:val="56"/>
    <w:autoRedefine/>
    <w:semiHidden/>
    <w:unhideWhenUsed/>
    <w:qFormat/>
    <w:uiPriority w:val="0"/>
    <w:rPr>
      <w:rFonts w:hint="default" w:ascii="monospace" w:hAnsi="monospace" w:eastAsia="monospace" w:cs="monospace"/>
      <w:sz w:val="20"/>
    </w:rPr>
  </w:style>
  <w:style w:type="character" w:styleId="71">
    <w:name w:val="HTML Sample"/>
    <w:basedOn w:val="56"/>
    <w:autoRedefine/>
    <w:semiHidden/>
    <w:unhideWhenUsed/>
    <w:qFormat/>
    <w:uiPriority w:val="0"/>
    <w:rPr>
      <w:rFonts w:ascii="monospace" w:hAnsi="monospace" w:eastAsia="monospace" w:cs="monospace"/>
    </w:rPr>
  </w:style>
  <w:style w:type="paragraph" w:customStyle="1" w:styleId="72">
    <w:name w:val="表格内容"/>
    <w:basedOn w:val="1"/>
    <w:autoRedefine/>
    <w:qFormat/>
    <w:uiPriority w:val="0"/>
    <w:pPr>
      <w:widowControl/>
      <w:jc w:val="center"/>
      <w:textAlignment w:val="center"/>
    </w:pPr>
    <w:rPr>
      <w:rFonts w:ascii="Times New Roman" w:hAnsi="Times New Roman"/>
      <w:szCs w:val="22"/>
    </w:rPr>
  </w:style>
  <w:style w:type="paragraph" w:customStyle="1" w:styleId="73">
    <w:name w:val="段"/>
    <w:next w:val="1"/>
    <w:autoRedefine/>
    <w:qFormat/>
    <w:uiPriority w:val="0"/>
    <w:pPr>
      <w:autoSpaceDE w:val="0"/>
      <w:autoSpaceDN w:val="0"/>
      <w:ind w:firstLine="200" w:firstLineChars="200"/>
      <w:jc w:val="both"/>
    </w:pPr>
    <w:rPr>
      <w:rFonts w:ascii="宋体" w:hAnsi="Times New Roman" w:eastAsia="宋体" w:cs="Times New Roman"/>
      <w:sz w:val="21"/>
      <w:szCs w:val="22"/>
      <w:lang w:val="en-US" w:eastAsia="zh-CN" w:bidi="ar-SA"/>
    </w:rPr>
  </w:style>
  <w:style w:type="paragraph" w:customStyle="1" w:styleId="74">
    <w:name w:val="首行缩进"/>
    <w:basedOn w:val="1"/>
    <w:autoRedefine/>
    <w:qFormat/>
    <w:uiPriority w:val="0"/>
    <w:pPr>
      <w:ind w:firstLine="480" w:firstLineChars="200"/>
    </w:pPr>
    <w:rPr>
      <w:lang w:val="zh-CN"/>
    </w:rPr>
  </w:style>
  <w:style w:type="character" w:customStyle="1" w:styleId="75">
    <w:name w:val="标题 1 字符"/>
    <w:link w:val="2"/>
    <w:autoRedefine/>
    <w:qFormat/>
    <w:uiPriority w:val="0"/>
    <w:rPr>
      <w:rFonts w:ascii="宋体" w:hAnsi="宋体"/>
      <w:b/>
      <w:kern w:val="2"/>
      <w:sz w:val="36"/>
    </w:rPr>
  </w:style>
  <w:style w:type="character" w:customStyle="1" w:styleId="76">
    <w:name w:val="标题 2 字符"/>
    <w:link w:val="3"/>
    <w:autoRedefine/>
    <w:qFormat/>
    <w:locked/>
    <w:uiPriority w:val="0"/>
    <w:rPr>
      <w:rFonts w:eastAsia="楷体_GB2312"/>
      <w:b/>
      <w:bCs/>
      <w:kern w:val="2"/>
      <w:sz w:val="28"/>
      <w:szCs w:val="28"/>
    </w:rPr>
  </w:style>
  <w:style w:type="character" w:customStyle="1" w:styleId="77">
    <w:name w:val="标题 3 字符"/>
    <w:link w:val="4"/>
    <w:autoRedefine/>
    <w:qFormat/>
    <w:uiPriority w:val="9"/>
    <w:rPr>
      <w:rFonts w:ascii="宋体" w:hAnsi="宋体"/>
      <w:kern w:val="2"/>
      <w:sz w:val="28"/>
    </w:rPr>
  </w:style>
  <w:style w:type="character" w:customStyle="1" w:styleId="78">
    <w:name w:val="标题 4 字符"/>
    <w:link w:val="5"/>
    <w:autoRedefine/>
    <w:qFormat/>
    <w:uiPriority w:val="9"/>
    <w:rPr>
      <w:b/>
      <w:bCs/>
      <w:kern w:val="2"/>
      <w:sz w:val="18"/>
    </w:rPr>
  </w:style>
  <w:style w:type="character" w:customStyle="1" w:styleId="79">
    <w:name w:val="标题 5 字符"/>
    <w:link w:val="6"/>
    <w:autoRedefine/>
    <w:qFormat/>
    <w:uiPriority w:val="9"/>
    <w:rPr>
      <w:b/>
      <w:bCs/>
      <w:kern w:val="2"/>
      <w:sz w:val="18"/>
    </w:rPr>
  </w:style>
  <w:style w:type="character" w:customStyle="1" w:styleId="80">
    <w:name w:val="标题 6 字符"/>
    <w:link w:val="7"/>
    <w:autoRedefine/>
    <w:qFormat/>
    <w:uiPriority w:val="9"/>
    <w:rPr>
      <w:rFonts w:ascii="Calibri Light" w:hAnsi="Calibri Light"/>
      <w:b/>
      <w:bCs/>
      <w:i/>
      <w:iCs/>
    </w:rPr>
  </w:style>
  <w:style w:type="character" w:customStyle="1" w:styleId="81">
    <w:name w:val="标题 7 字符"/>
    <w:link w:val="8"/>
    <w:autoRedefine/>
    <w:qFormat/>
    <w:uiPriority w:val="9"/>
    <w:rPr>
      <w:i/>
      <w:iCs/>
    </w:rPr>
  </w:style>
  <w:style w:type="character" w:customStyle="1" w:styleId="82">
    <w:name w:val="标题 8 字符"/>
    <w:link w:val="9"/>
    <w:autoRedefine/>
    <w:qFormat/>
    <w:uiPriority w:val="9"/>
    <w:rPr>
      <w:b/>
      <w:bCs/>
    </w:rPr>
  </w:style>
  <w:style w:type="character" w:customStyle="1" w:styleId="83">
    <w:name w:val="标题 9 字符"/>
    <w:link w:val="10"/>
    <w:autoRedefine/>
    <w:qFormat/>
    <w:uiPriority w:val="9"/>
    <w:rPr>
      <w:i/>
      <w:iCs/>
    </w:rPr>
  </w:style>
  <w:style w:type="character" w:customStyle="1" w:styleId="84">
    <w:name w:val="正文缩进 字符"/>
    <w:link w:val="13"/>
    <w:autoRedefine/>
    <w:qFormat/>
    <w:uiPriority w:val="0"/>
    <w:rPr>
      <w:kern w:val="2"/>
      <w:sz w:val="21"/>
    </w:rPr>
  </w:style>
  <w:style w:type="character" w:customStyle="1" w:styleId="85">
    <w:name w:val="文档结构图 字符"/>
    <w:link w:val="16"/>
    <w:autoRedefine/>
    <w:semiHidden/>
    <w:qFormat/>
    <w:uiPriority w:val="0"/>
    <w:rPr>
      <w:kern w:val="2"/>
      <w:sz w:val="21"/>
      <w:shd w:val="clear" w:color="auto" w:fill="000080"/>
    </w:rPr>
  </w:style>
  <w:style w:type="character" w:customStyle="1" w:styleId="86">
    <w:name w:val="批注文字 字符"/>
    <w:link w:val="17"/>
    <w:autoRedefine/>
    <w:qFormat/>
    <w:uiPriority w:val="0"/>
    <w:rPr>
      <w:kern w:val="2"/>
      <w:sz w:val="21"/>
    </w:rPr>
  </w:style>
  <w:style w:type="character" w:customStyle="1" w:styleId="87">
    <w:name w:val="正文文本 字符1"/>
    <w:link w:val="19"/>
    <w:autoRedefine/>
    <w:qFormat/>
    <w:uiPriority w:val="0"/>
    <w:rPr>
      <w:rFonts w:ascii="楷体_GB2312" w:hAnsi="Arial" w:eastAsia="楷体_GB2312"/>
      <w:kern w:val="2"/>
      <w:sz w:val="28"/>
    </w:rPr>
  </w:style>
  <w:style w:type="character" w:customStyle="1" w:styleId="88">
    <w:name w:val="正文文本缩进 字符"/>
    <w:link w:val="22"/>
    <w:autoRedefine/>
    <w:qFormat/>
    <w:uiPriority w:val="0"/>
    <w:rPr>
      <w:rFonts w:ascii="宋体"/>
      <w:sz w:val="28"/>
    </w:rPr>
  </w:style>
  <w:style w:type="character" w:customStyle="1" w:styleId="89">
    <w:name w:val="纯文本 字符"/>
    <w:link w:val="28"/>
    <w:autoRedefine/>
    <w:qFormat/>
    <w:uiPriority w:val="0"/>
    <w:rPr>
      <w:rFonts w:ascii="宋体" w:hAnsi="Courier New"/>
      <w:kern w:val="2"/>
      <w:sz w:val="21"/>
    </w:rPr>
  </w:style>
  <w:style w:type="character" w:customStyle="1" w:styleId="90">
    <w:name w:val="日期 字符"/>
    <w:link w:val="31"/>
    <w:autoRedefine/>
    <w:qFormat/>
    <w:uiPriority w:val="0"/>
    <w:rPr>
      <w:rFonts w:ascii="宋体"/>
      <w:sz w:val="28"/>
    </w:rPr>
  </w:style>
  <w:style w:type="character" w:customStyle="1" w:styleId="91">
    <w:name w:val="正文文本缩进 2 字符"/>
    <w:link w:val="32"/>
    <w:autoRedefine/>
    <w:qFormat/>
    <w:uiPriority w:val="0"/>
    <w:rPr>
      <w:kern w:val="2"/>
      <w:sz w:val="24"/>
    </w:rPr>
  </w:style>
  <w:style w:type="character" w:customStyle="1" w:styleId="92">
    <w:name w:val="批注框文本 字符"/>
    <w:link w:val="33"/>
    <w:autoRedefine/>
    <w:qFormat/>
    <w:uiPriority w:val="0"/>
    <w:rPr>
      <w:kern w:val="2"/>
      <w:sz w:val="18"/>
      <w:szCs w:val="18"/>
    </w:rPr>
  </w:style>
  <w:style w:type="character" w:customStyle="1" w:styleId="93">
    <w:name w:val="页脚 字符"/>
    <w:link w:val="34"/>
    <w:autoRedefine/>
    <w:qFormat/>
    <w:uiPriority w:val="0"/>
    <w:rPr>
      <w:kern w:val="2"/>
      <w:sz w:val="18"/>
    </w:rPr>
  </w:style>
  <w:style w:type="character" w:customStyle="1" w:styleId="94">
    <w:name w:val="页眉 字符"/>
    <w:link w:val="35"/>
    <w:autoRedefine/>
    <w:qFormat/>
    <w:uiPriority w:val="99"/>
    <w:rPr>
      <w:kern w:val="2"/>
      <w:sz w:val="18"/>
    </w:rPr>
  </w:style>
  <w:style w:type="character" w:customStyle="1" w:styleId="95">
    <w:name w:val="签名 字符1"/>
    <w:link w:val="36"/>
    <w:autoRedefine/>
    <w:qFormat/>
    <w:locked/>
    <w:uiPriority w:val="0"/>
    <w:rPr>
      <w:rFonts w:eastAsia="仿宋_GB2312"/>
      <w:sz w:val="24"/>
    </w:rPr>
  </w:style>
  <w:style w:type="character" w:customStyle="1" w:styleId="96">
    <w:name w:val="副标题 字符"/>
    <w:link w:val="41"/>
    <w:autoRedefine/>
    <w:qFormat/>
    <w:uiPriority w:val="11"/>
    <w:rPr>
      <w:rFonts w:ascii="Calibri Light" w:hAnsi="Calibri Light"/>
      <w:sz w:val="24"/>
      <w:szCs w:val="24"/>
    </w:rPr>
  </w:style>
  <w:style w:type="character" w:customStyle="1" w:styleId="97">
    <w:name w:val="正文文本缩进 3 字符"/>
    <w:link w:val="43"/>
    <w:autoRedefine/>
    <w:qFormat/>
    <w:uiPriority w:val="0"/>
    <w:rPr>
      <w:b/>
      <w:bCs/>
      <w:kern w:val="2"/>
      <w:sz w:val="28"/>
      <w:u w:val="single"/>
    </w:rPr>
  </w:style>
  <w:style w:type="character" w:customStyle="1" w:styleId="98">
    <w:name w:val="HTML 预设格式 字符"/>
    <w:link w:val="49"/>
    <w:autoRedefine/>
    <w:qFormat/>
    <w:uiPriority w:val="0"/>
    <w:rPr>
      <w:rFonts w:ascii="Arial" w:hAnsi="Arial" w:cs="Arial"/>
      <w:sz w:val="24"/>
      <w:szCs w:val="24"/>
    </w:rPr>
  </w:style>
  <w:style w:type="character" w:customStyle="1" w:styleId="99">
    <w:name w:val="标题 字符"/>
    <w:link w:val="52"/>
    <w:autoRedefine/>
    <w:qFormat/>
    <w:uiPriority w:val="10"/>
    <w:rPr>
      <w:rFonts w:ascii="Calibri Light" w:hAnsi="Calibri Light"/>
      <w:b/>
      <w:bCs/>
      <w:spacing w:val="-7"/>
      <w:sz w:val="48"/>
      <w:szCs w:val="48"/>
    </w:rPr>
  </w:style>
  <w:style w:type="character" w:customStyle="1" w:styleId="100">
    <w:name w:val="批注主题 字符"/>
    <w:link w:val="53"/>
    <w:autoRedefine/>
    <w:qFormat/>
    <w:uiPriority w:val="0"/>
    <w:rPr>
      <w:b/>
      <w:bCs/>
      <w:kern w:val="2"/>
      <w:sz w:val="21"/>
    </w:rPr>
  </w:style>
  <w:style w:type="character" w:customStyle="1" w:styleId="101">
    <w:name w:val="引用 Char1"/>
    <w:autoRedefine/>
    <w:qFormat/>
    <w:uiPriority w:val="29"/>
    <w:rPr>
      <w:i/>
      <w:iCs/>
      <w:color w:val="404040"/>
      <w:kern w:val="2"/>
      <w:sz w:val="21"/>
    </w:rPr>
  </w:style>
  <w:style w:type="character" w:customStyle="1" w:styleId="102">
    <w:name w:val="副标题 Char1"/>
    <w:autoRedefine/>
    <w:qFormat/>
    <w:uiPriority w:val="11"/>
    <w:rPr>
      <w:rFonts w:ascii="Calibri Light" w:hAnsi="Calibri Light" w:cs="Times New Roman"/>
      <w:b/>
      <w:bCs/>
      <w:kern w:val="28"/>
      <w:sz w:val="32"/>
      <w:szCs w:val="32"/>
    </w:rPr>
  </w:style>
  <w:style w:type="character" w:customStyle="1" w:styleId="103">
    <w:name w:val="纯文本 Char1"/>
    <w:link w:val="104"/>
    <w:autoRedefine/>
    <w:qFormat/>
    <w:uiPriority w:val="0"/>
    <w:rPr>
      <w:rFonts w:ascii="宋体" w:hAnsi="Courier New"/>
    </w:rPr>
  </w:style>
  <w:style w:type="paragraph" w:customStyle="1" w:styleId="104">
    <w:name w:val="纯文本1"/>
    <w:basedOn w:val="1"/>
    <w:link w:val="103"/>
    <w:autoRedefine/>
    <w:qFormat/>
    <w:uiPriority w:val="0"/>
    <w:rPr>
      <w:rFonts w:ascii="宋体" w:hAnsi="Courier New"/>
      <w:kern w:val="0"/>
      <w:sz w:val="20"/>
    </w:rPr>
  </w:style>
  <w:style w:type="character" w:customStyle="1" w:styleId="105">
    <w:name w:val="标题 1 Char1"/>
    <w:autoRedefine/>
    <w:qFormat/>
    <w:uiPriority w:val="9"/>
    <w:rPr>
      <w:rFonts w:ascii="Calibri Light" w:hAnsi="Calibri Light"/>
      <w:b/>
      <w:bCs/>
      <w:caps/>
      <w:spacing w:val="4"/>
      <w:sz w:val="28"/>
      <w:szCs w:val="28"/>
    </w:rPr>
  </w:style>
  <w:style w:type="character" w:customStyle="1" w:styleId="106">
    <w:name w:val="明显引用 字符"/>
    <w:link w:val="107"/>
    <w:autoRedefine/>
    <w:qFormat/>
    <w:uiPriority w:val="30"/>
    <w:rPr>
      <w:rFonts w:ascii="Calibri Light" w:hAnsi="Calibri Light"/>
      <w:sz w:val="26"/>
      <w:szCs w:val="26"/>
    </w:rPr>
  </w:style>
  <w:style w:type="paragraph" w:styleId="107">
    <w:name w:val="Intense Quote"/>
    <w:basedOn w:val="1"/>
    <w:next w:val="1"/>
    <w:link w:val="106"/>
    <w:autoRedefine/>
    <w:qFormat/>
    <w:uiPriority w:val="30"/>
    <w:pPr>
      <w:widowControl/>
      <w:spacing w:before="100" w:beforeAutospacing="1" w:after="240" w:line="252" w:lineRule="auto"/>
      <w:ind w:left="936" w:right="936"/>
      <w:jc w:val="center"/>
    </w:pPr>
    <w:rPr>
      <w:rFonts w:ascii="Calibri Light" w:hAnsi="Calibri Light"/>
      <w:kern w:val="0"/>
      <w:sz w:val="26"/>
      <w:szCs w:val="26"/>
    </w:rPr>
  </w:style>
  <w:style w:type="character" w:customStyle="1" w:styleId="108">
    <w:name w:val="签名 Char1"/>
    <w:autoRedefine/>
    <w:semiHidden/>
    <w:qFormat/>
    <w:uiPriority w:val="0"/>
    <w:rPr>
      <w:sz w:val="24"/>
      <w:szCs w:val="24"/>
    </w:rPr>
  </w:style>
  <w:style w:type="character" w:customStyle="1" w:styleId="109">
    <w:name w:val="书籍标题1"/>
    <w:autoRedefine/>
    <w:qFormat/>
    <w:uiPriority w:val="33"/>
    <w:rPr>
      <w:b/>
      <w:bCs/>
      <w:smallCaps/>
      <w:color w:val="auto"/>
    </w:rPr>
  </w:style>
  <w:style w:type="character" w:customStyle="1" w:styleId="110">
    <w:name w:val="不明显强调1"/>
    <w:autoRedefine/>
    <w:qFormat/>
    <w:uiPriority w:val="19"/>
    <w:rPr>
      <w:i/>
      <w:iCs/>
      <w:color w:val="auto"/>
    </w:rPr>
  </w:style>
  <w:style w:type="character" w:customStyle="1" w:styleId="111">
    <w:name w:val="明显引用 Char1"/>
    <w:autoRedefine/>
    <w:qFormat/>
    <w:uiPriority w:val="30"/>
    <w:rPr>
      <w:i/>
      <w:iCs/>
      <w:color w:val="5B9BD5"/>
      <w:kern w:val="2"/>
      <w:sz w:val="21"/>
    </w:rPr>
  </w:style>
  <w:style w:type="character" w:customStyle="1" w:styleId="112">
    <w:name w:val="标题 Char1"/>
    <w:autoRedefine/>
    <w:qFormat/>
    <w:uiPriority w:val="10"/>
    <w:rPr>
      <w:rFonts w:ascii="Calibri Light" w:hAnsi="Calibri Light" w:cs="Times New Roman"/>
      <w:b/>
      <w:bCs/>
      <w:kern w:val="2"/>
      <w:sz w:val="32"/>
      <w:szCs w:val="32"/>
    </w:rPr>
  </w:style>
  <w:style w:type="character" w:customStyle="1" w:styleId="113">
    <w:name w:val="正文文本 Char2"/>
    <w:autoRedefine/>
    <w:semiHidden/>
    <w:qFormat/>
    <w:uiPriority w:val="0"/>
    <w:rPr>
      <w:sz w:val="24"/>
      <w:szCs w:val="24"/>
    </w:rPr>
  </w:style>
  <w:style w:type="character" w:customStyle="1" w:styleId="114">
    <w:name w:val="正文格式（小四） Char"/>
    <w:link w:val="115"/>
    <w:autoRedefine/>
    <w:qFormat/>
    <w:locked/>
    <w:uiPriority w:val="0"/>
    <w:rPr>
      <w:kern w:val="24"/>
      <w:sz w:val="24"/>
      <w:szCs w:val="24"/>
    </w:rPr>
  </w:style>
  <w:style w:type="paragraph" w:customStyle="1" w:styleId="115">
    <w:name w:val="正文格式（小四）"/>
    <w:basedOn w:val="1"/>
    <w:link w:val="114"/>
    <w:autoRedefine/>
    <w:qFormat/>
    <w:uiPriority w:val="0"/>
    <w:pPr>
      <w:widowControl/>
      <w:adjustRightInd w:val="0"/>
      <w:snapToGrid w:val="0"/>
      <w:spacing w:after="160" w:line="360" w:lineRule="auto"/>
      <w:ind w:firstLine="482" w:firstLineChars="200"/>
      <w:jc w:val="left"/>
      <w:textAlignment w:val="baseline"/>
    </w:pPr>
    <w:rPr>
      <w:kern w:val="24"/>
      <w:sz w:val="24"/>
      <w:szCs w:val="24"/>
    </w:rPr>
  </w:style>
  <w:style w:type="character" w:customStyle="1" w:styleId="116">
    <w:name w:val="批注文字 Char2"/>
    <w:autoRedefine/>
    <w:semiHidden/>
    <w:qFormat/>
    <w:uiPriority w:val="0"/>
    <w:rPr>
      <w:sz w:val="24"/>
      <w:szCs w:val="24"/>
    </w:rPr>
  </w:style>
  <w:style w:type="character" w:customStyle="1" w:styleId="117">
    <w:name w:val="Plain Text Char"/>
    <w:autoRedefine/>
    <w:qFormat/>
    <w:locked/>
    <w:uiPriority w:val="0"/>
    <w:rPr>
      <w:rFonts w:ascii="宋体" w:hAnsi="Courier New" w:eastAsia="楷体_GB2312"/>
      <w:kern w:val="2"/>
      <w:sz w:val="26"/>
    </w:rPr>
  </w:style>
  <w:style w:type="character" w:customStyle="1" w:styleId="118">
    <w:name w:val="批注主题 Char1"/>
    <w:autoRedefine/>
    <w:semiHidden/>
    <w:qFormat/>
    <w:uiPriority w:val="0"/>
    <w:rPr>
      <w:b/>
      <w:bCs/>
      <w:sz w:val="24"/>
      <w:szCs w:val="24"/>
    </w:rPr>
  </w:style>
  <w:style w:type="character" w:customStyle="1" w:styleId="119">
    <w:name w:val="方案正文 Char"/>
    <w:link w:val="120"/>
    <w:autoRedefine/>
    <w:qFormat/>
    <w:uiPriority w:val="0"/>
    <w:rPr>
      <w:spacing w:val="2"/>
      <w:kern w:val="2"/>
      <w:sz w:val="21"/>
      <w:szCs w:val="21"/>
    </w:rPr>
  </w:style>
  <w:style w:type="paragraph" w:customStyle="1" w:styleId="120">
    <w:name w:val="方案正文"/>
    <w:basedOn w:val="1"/>
    <w:link w:val="119"/>
    <w:autoRedefine/>
    <w:qFormat/>
    <w:uiPriority w:val="0"/>
    <w:pPr>
      <w:widowControl/>
      <w:tabs>
        <w:tab w:val="left" w:pos="0"/>
      </w:tabs>
      <w:spacing w:line="360" w:lineRule="auto"/>
      <w:jc w:val="left"/>
    </w:pPr>
    <w:rPr>
      <w:spacing w:val="2"/>
      <w:szCs w:val="21"/>
    </w:rPr>
  </w:style>
  <w:style w:type="character" w:customStyle="1" w:styleId="121">
    <w:name w:val="正文文本 字符"/>
    <w:autoRedefine/>
    <w:qFormat/>
    <w:uiPriority w:val="0"/>
    <w:rPr>
      <w:rFonts w:ascii="楷体_GB2312" w:hAnsi="Arial" w:eastAsia="楷体_GB2312"/>
      <w:kern w:val="2"/>
      <w:sz w:val="28"/>
    </w:rPr>
  </w:style>
  <w:style w:type="character" w:customStyle="1" w:styleId="122">
    <w:name w:val="明显强调1"/>
    <w:autoRedefine/>
    <w:qFormat/>
    <w:uiPriority w:val="21"/>
    <w:rPr>
      <w:b/>
      <w:bCs/>
      <w:i/>
      <w:iCs/>
      <w:color w:val="auto"/>
    </w:rPr>
  </w:style>
  <w:style w:type="character" w:customStyle="1" w:styleId="123">
    <w:name w:val="引用 字符"/>
    <w:link w:val="124"/>
    <w:autoRedefine/>
    <w:qFormat/>
    <w:uiPriority w:val="29"/>
    <w:rPr>
      <w:rFonts w:ascii="Calibri Light" w:hAnsi="Calibri Light"/>
      <w:i/>
      <w:iCs/>
      <w:sz w:val="24"/>
      <w:szCs w:val="24"/>
    </w:rPr>
  </w:style>
  <w:style w:type="paragraph" w:styleId="124">
    <w:name w:val="Quote"/>
    <w:basedOn w:val="1"/>
    <w:next w:val="1"/>
    <w:link w:val="123"/>
    <w:autoRedefine/>
    <w:qFormat/>
    <w:uiPriority w:val="29"/>
    <w:pPr>
      <w:widowControl/>
      <w:spacing w:before="200" w:after="160" w:line="264" w:lineRule="auto"/>
      <w:ind w:left="864" w:right="864"/>
      <w:jc w:val="center"/>
    </w:pPr>
    <w:rPr>
      <w:rFonts w:ascii="Calibri Light" w:hAnsi="Calibri Light"/>
      <w:i/>
      <w:iCs/>
      <w:kern w:val="0"/>
      <w:sz w:val="24"/>
      <w:szCs w:val="24"/>
    </w:rPr>
  </w:style>
  <w:style w:type="character" w:customStyle="1" w:styleId="125">
    <w:name w:val="页眉 Char1"/>
    <w:autoRedefine/>
    <w:semiHidden/>
    <w:qFormat/>
    <w:uiPriority w:val="99"/>
    <w:rPr>
      <w:sz w:val="18"/>
      <w:szCs w:val="18"/>
    </w:rPr>
  </w:style>
  <w:style w:type="character" w:customStyle="1" w:styleId="126">
    <w:name w:val="列出段落 字符"/>
    <w:link w:val="127"/>
    <w:autoRedefine/>
    <w:qFormat/>
    <w:locked/>
    <w:uiPriority w:val="34"/>
    <w:rPr>
      <w:kern w:val="2"/>
      <w:sz w:val="24"/>
      <w:szCs w:val="21"/>
    </w:rPr>
  </w:style>
  <w:style w:type="paragraph" w:styleId="127">
    <w:name w:val="List Paragraph"/>
    <w:basedOn w:val="1"/>
    <w:link w:val="126"/>
    <w:autoRedefine/>
    <w:qFormat/>
    <w:uiPriority w:val="34"/>
    <w:pPr>
      <w:spacing w:line="360" w:lineRule="auto"/>
      <w:ind w:firstLine="420" w:firstLineChars="200"/>
    </w:pPr>
    <w:rPr>
      <w:sz w:val="24"/>
      <w:szCs w:val="21"/>
    </w:rPr>
  </w:style>
  <w:style w:type="character" w:customStyle="1" w:styleId="128">
    <w:name w:val="不明显参考1"/>
    <w:autoRedefine/>
    <w:qFormat/>
    <w:uiPriority w:val="31"/>
    <w:rPr>
      <w:smallCaps/>
      <w:color w:val="auto"/>
      <w:u w:val="single" w:color="7F7F7F"/>
    </w:rPr>
  </w:style>
  <w:style w:type="character" w:customStyle="1" w:styleId="129">
    <w:name w:val="日期 Char1"/>
    <w:autoRedefine/>
    <w:semiHidden/>
    <w:qFormat/>
    <w:uiPriority w:val="0"/>
    <w:rPr>
      <w:sz w:val="24"/>
      <w:szCs w:val="24"/>
    </w:rPr>
  </w:style>
  <w:style w:type="character" w:customStyle="1" w:styleId="130">
    <w:name w:val="正文文本 Char1"/>
    <w:autoRedefine/>
    <w:qFormat/>
    <w:uiPriority w:val="0"/>
    <w:rPr>
      <w:rFonts w:ascii="楷体_GB2312" w:hAnsi="Arial" w:eastAsia="楷体_GB2312"/>
      <w:kern w:val="2"/>
      <w:sz w:val="28"/>
    </w:rPr>
  </w:style>
  <w:style w:type="character" w:customStyle="1" w:styleId="131">
    <w:name w:val="签名 字符"/>
    <w:autoRedefine/>
    <w:qFormat/>
    <w:locked/>
    <w:uiPriority w:val="0"/>
    <w:rPr>
      <w:rFonts w:eastAsia="仿宋_GB2312"/>
      <w:sz w:val="24"/>
    </w:rPr>
  </w:style>
  <w:style w:type="character" w:customStyle="1" w:styleId="132">
    <w:name w:val="批注文字 Char"/>
    <w:autoRedefine/>
    <w:qFormat/>
    <w:uiPriority w:val="0"/>
    <w:rPr>
      <w:kern w:val="2"/>
      <w:sz w:val="21"/>
    </w:rPr>
  </w:style>
  <w:style w:type="character" w:customStyle="1" w:styleId="133">
    <w:name w:val="批注框文本 Char1"/>
    <w:autoRedefine/>
    <w:semiHidden/>
    <w:qFormat/>
    <w:uiPriority w:val="0"/>
    <w:rPr>
      <w:sz w:val="18"/>
      <w:szCs w:val="18"/>
    </w:rPr>
  </w:style>
  <w:style w:type="character" w:customStyle="1" w:styleId="134">
    <w:name w:val="正文缩进 Char1"/>
    <w:link w:val="135"/>
    <w:autoRedefine/>
    <w:qFormat/>
    <w:uiPriority w:val="0"/>
    <w:rPr>
      <w:rFonts w:ascii="宋体"/>
      <w:sz w:val="24"/>
    </w:rPr>
  </w:style>
  <w:style w:type="paragraph" w:customStyle="1" w:styleId="135">
    <w:name w:val="正文缩进1"/>
    <w:basedOn w:val="1"/>
    <w:link w:val="134"/>
    <w:autoRedefine/>
    <w:qFormat/>
    <w:uiPriority w:val="0"/>
    <w:pPr>
      <w:autoSpaceDE w:val="0"/>
      <w:autoSpaceDN w:val="0"/>
      <w:adjustRightInd w:val="0"/>
      <w:ind w:firstLine="420"/>
      <w:jc w:val="left"/>
    </w:pPr>
    <w:rPr>
      <w:rFonts w:ascii="宋体"/>
      <w:kern w:val="0"/>
      <w:sz w:val="24"/>
    </w:rPr>
  </w:style>
  <w:style w:type="character" w:customStyle="1" w:styleId="136">
    <w:name w:val="HTML 预设格式 Char1"/>
    <w:autoRedefine/>
    <w:semiHidden/>
    <w:qFormat/>
    <w:uiPriority w:val="0"/>
    <w:rPr>
      <w:rFonts w:ascii="Courier New" w:hAnsi="Courier New" w:cs="Courier New"/>
    </w:rPr>
  </w:style>
  <w:style w:type="character" w:customStyle="1" w:styleId="137">
    <w:name w:val="明显参考1"/>
    <w:autoRedefine/>
    <w:qFormat/>
    <w:uiPriority w:val="32"/>
    <w:rPr>
      <w:b/>
      <w:bCs/>
      <w:smallCaps/>
      <w:color w:val="auto"/>
      <w:u w:val="single"/>
    </w:rPr>
  </w:style>
  <w:style w:type="paragraph" w:customStyle="1" w:styleId="138">
    <w:name w:val="Char Char"/>
    <w:basedOn w:val="1"/>
    <w:autoRedefine/>
    <w:qFormat/>
    <w:uiPriority w:val="0"/>
    <w:rPr>
      <w:szCs w:val="21"/>
    </w:rPr>
  </w:style>
  <w:style w:type="paragraph" w:customStyle="1" w:styleId="139">
    <w:name w:val="Default"/>
    <w:autoRedefine/>
    <w:qFormat/>
    <w:uiPriority w:val="0"/>
    <w:pPr>
      <w:widowControl w:val="0"/>
      <w:autoSpaceDE w:val="0"/>
      <w:autoSpaceDN w:val="0"/>
      <w:adjustRightInd w:val="0"/>
    </w:pPr>
    <w:rPr>
      <w:rFonts w:ascii="Calibri" w:hAnsi="Calibri" w:eastAsia="宋体" w:cs="Times New Roman"/>
      <w:color w:val="000000"/>
      <w:sz w:val="24"/>
      <w:szCs w:val="24"/>
      <w:lang w:val="en-US" w:eastAsia="zh-CN" w:bidi="ar-SA"/>
    </w:rPr>
  </w:style>
  <w:style w:type="paragraph" w:customStyle="1" w:styleId="140">
    <w:name w:val="Char Char1 Char Char Char Char Char Char Char"/>
    <w:basedOn w:val="1"/>
    <w:autoRedefine/>
    <w:qFormat/>
    <w:uiPriority w:val="0"/>
    <w:rPr>
      <w:rFonts w:ascii="Tahoma" w:hAnsi="Tahoma"/>
      <w:sz w:val="24"/>
    </w:rPr>
  </w:style>
  <w:style w:type="paragraph" w:customStyle="1" w:styleId="141">
    <w:name w:val="索引 11"/>
    <w:basedOn w:val="1"/>
    <w:next w:val="1"/>
    <w:autoRedefine/>
    <w:qFormat/>
    <w:uiPriority w:val="0"/>
    <w:pPr>
      <w:spacing w:line="360" w:lineRule="auto"/>
    </w:pPr>
    <w:rPr>
      <w:rFonts w:ascii="仿宋_GB2312" w:eastAsia="仿宋_GB2312"/>
      <w:sz w:val="24"/>
    </w:rPr>
  </w:style>
  <w:style w:type="paragraph" w:styleId="142">
    <w:name w:val="No Spacing"/>
    <w:autoRedefine/>
    <w:qFormat/>
    <w:uiPriority w:val="1"/>
    <w:pPr>
      <w:jc w:val="both"/>
    </w:pPr>
    <w:rPr>
      <w:rFonts w:ascii="Calibri" w:hAnsi="Calibri" w:eastAsia="宋体" w:cs="Times New Roman"/>
      <w:sz w:val="22"/>
      <w:szCs w:val="22"/>
      <w:lang w:val="en-US" w:eastAsia="zh-CN" w:bidi="ar-SA"/>
    </w:rPr>
  </w:style>
  <w:style w:type="paragraph" w:customStyle="1" w:styleId="143">
    <w:name w:val="Char Char Char"/>
    <w:basedOn w:val="1"/>
    <w:autoRedefine/>
    <w:qFormat/>
    <w:uiPriority w:val="0"/>
    <w:pPr>
      <w:tabs>
        <w:tab w:val="left" w:pos="375"/>
        <w:tab w:val="left" w:pos="1545"/>
      </w:tabs>
      <w:ind w:left="375" w:hanging="375"/>
    </w:pPr>
  </w:style>
  <w:style w:type="paragraph" w:customStyle="1" w:styleId="144">
    <w:name w:val="Char"/>
    <w:basedOn w:val="1"/>
    <w:autoRedefine/>
    <w:qFormat/>
    <w:uiPriority w:val="0"/>
    <w:pPr>
      <w:numPr>
        <w:ilvl w:val="0"/>
        <w:numId w:val="1"/>
      </w:numPr>
    </w:pPr>
    <w:rPr>
      <w:sz w:val="24"/>
      <w:szCs w:val="24"/>
    </w:rPr>
  </w:style>
  <w:style w:type="paragraph" w:customStyle="1" w:styleId="145">
    <w:name w:val="Char1 Char Char Char"/>
    <w:basedOn w:val="1"/>
    <w:autoRedefine/>
    <w:qFormat/>
    <w:uiPriority w:val="0"/>
    <w:rPr>
      <w:rFonts w:ascii="Tahoma" w:hAnsi="Tahoma"/>
      <w:sz w:val="24"/>
    </w:rPr>
  </w:style>
  <w:style w:type="paragraph" w:customStyle="1" w:styleId="146">
    <w:name w:val="Char Char Char Char"/>
    <w:basedOn w:val="16"/>
    <w:autoRedefine/>
    <w:qFormat/>
    <w:uiPriority w:val="0"/>
    <w:pPr>
      <w:adjustRightInd w:val="0"/>
      <w:snapToGrid w:val="0"/>
      <w:spacing w:line="360" w:lineRule="auto"/>
    </w:pPr>
    <w:rPr>
      <w:rFonts w:ascii="Tahoma" w:hAnsi="Tahoma"/>
      <w:sz w:val="24"/>
      <w:szCs w:val="24"/>
    </w:rPr>
  </w:style>
  <w:style w:type="paragraph" w:customStyle="1" w:styleId="147">
    <w:name w:val="Char Char Char1"/>
    <w:basedOn w:val="1"/>
    <w:autoRedefine/>
    <w:qFormat/>
    <w:uiPriority w:val="0"/>
    <w:pPr>
      <w:numPr>
        <w:ilvl w:val="0"/>
        <w:numId w:val="2"/>
      </w:numPr>
      <w:tabs>
        <w:tab w:val="left" w:pos="375"/>
        <w:tab w:val="left" w:pos="1545"/>
      </w:tabs>
    </w:pPr>
  </w:style>
  <w:style w:type="paragraph" w:customStyle="1" w:styleId="148">
    <w:name w:val="样式1"/>
    <w:basedOn w:val="1"/>
    <w:autoRedefine/>
    <w:qFormat/>
    <w:uiPriority w:val="0"/>
    <w:pPr>
      <w:numPr>
        <w:ilvl w:val="0"/>
        <w:numId w:val="3"/>
      </w:numPr>
      <w:adjustRightInd w:val="0"/>
      <w:textAlignment w:val="baseline"/>
    </w:pPr>
    <w:rPr>
      <w:rFonts w:ascii="宋体" w:hAnsi="宋体"/>
      <w:kern w:val="0"/>
      <w:szCs w:val="21"/>
    </w:rPr>
  </w:style>
  <w:style w:type="paragraph" w:customStyle="1" w:styleId="149">
    <w:name w:val="_Style 12"/>
    <w:basedOn w:val="16"/>
    <w:autoRedefine/>
    <w:qFormat/>
    <w:uiPriority w:val="0"/>
    <w:pPr>
      <w:widowControl/>
      <w:adjustRightInd w:val="0"/>
      <w:snapToGrid w:val="0"/>
      <w:spacing w:line="360" w:lineRule="auto"/>
      <w:jc w:val="left"/>
    </w:pPr>
    <w:rPr>
      <w:kern w:val="0"/>
      <w:sz w:val="24"/>
      <w:szCs w:val="24"/>
    </w:rPr>
  </w:style>
  <w:style w:type="paragraph" w:customStyle="1" w:styleId="150">
    <w:name w:val="Plain Text1"/>
    <w:basedOn w:val="1"/>
    <w:autoRedefine/>
    <w:qFormat/>
    <w:uiPriority w:val="0"/>
    <w:pPr>
      <w:adjustRightInd w:val="0"/>
      <w:textAlignment w:val="baseline"/>
    </w:pPr>
    <w:rPr>
      <w:rFonts w:ascii="宋体" w:hAnsi="Courier New" w:eastAsia="楷体_GB2312"/>
      <w:sz w:val="28"/>
    </w:rPr>
  </w:style>
  <w:style w:type="paragraph" w:customStyle="1" w:styleId="151">
    <w:name w:val="列出段落1"/>
    <w:autoRedefine/>
    <w:qFormat/>
    <w:uiPriority w:val="0"/>
    <w:pPr>
      <w:pBdr>
        <w:top w:val="none" w:color="FFFFFF" w:sz="0" w:space="31"/>
        <w:left w:val="none" w:color="FFFFFF" w:sz="0" w:space="31"/>
        <w:bottom w:val="none" w:color="FFFFFF" w:sz="0" w:space="31"/>
        <w:right w:val="none" w:color="FFFFFF" w:sz="0" w:space="31"/>
      </w:pBdr>
      <w:ind w:left="720"/>
    </w:pPr>
    <w:rPr>
      <w:rFonts w:ascii="Arial" w:hAnsi="Arial" w:eastAsia="宋体" w:cs="Arial"/>
      <w:color w:val="000000"/>
      <w:sz w:val="24"/>
      <w:szCs w:val="24"/>
      <w:u w:color="000000"/>
      <w:lang w:val="en-US" w:eastAsia="zh-CN" w:bidi="ar-SA"/>
    </w:rPr>
  </w:style>
  <w:style w:type="paragraph" w:customStyle="1" w:styleId="152">
    <w:name w:val="Char Char1 Char Char Char Char Char Char Char1"/>
    <w:basedOn w:val="1"/>
    <w:autoRedefine/>
    <w:qFormat/>
    <w:uiPriority w:val="0"/>
    <w:rPr>
      <w:rFonts w:ascii="Calibri Light" w:hAnsi="Calibri Light" w:cs="Berlin Sans FB Demi"/>
      <w:sz w:val="24"/>
    </w:rPr>
  </w:style>
  <w:style w:type="paragraph" w:customStyle="1" w:styleId="153">
    <w:name w:val="TOC 标题1"/>
    <w:basedOn w:val="2"/>
    <w:next w:val="1"/>
    <w:autoRedefine/>
    <w:qFormat/>
    <w:uiPriority w:val="39"/>
    <w:pPr>
      <w:keepLines/>
      <w:widowControl/>
      <w:tabs>
        <w:tab w:val="clear" w:pos="200"/>
      </w:tabs>
      <w:spacing w:before="320" w:after="40" w:line="252" w:lineRule="auto"/>
      <w:jc w:val="both"/>
      <w:outlineLvl w:val="9"/>
    </w:pPr>
    <w:rPr>
      <w:rFonts w:ascii="Calibri Light" w:hAnsi="Calibri Light"/>
      <w:bCs/>
      <w:caps/>
      <w:spacing w:val="4"/>
      <w:kern w:val="0"/>
      <w:sz w:val="28"/>
      <w:szCs w:val="28"/>
    </w:rPr>
  </w:style>
  <w:style w:type="table" w:customStyle="1" w:styleId="154">
    <w:name w:val="网格型1"/>
    <w:basedOn w:val="54"/>
    <w:autoRedefine/>
    <w:qFormat/>
    <w:uiPriority w:val="0"/>
    <w:pPr>
      <w:widowControl w:val="0"/>
      <w:jc w:val="both"/>
    </w:pPr>
    <w:rPr>
      <w:rFonts w:cs="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55">
    <w:name w:val="正文首行缩进 字符"/>
    <w:basedOn w:val="87"/>
    <w:autoRedefine/>
    <w:qFormat/>
    <w:uiPriority w:val="0"/>
    <w:rPr>
      <w:rFonts w:ascii="楷体_GB2312" w:hAnsi="Arial" w:eastAsia="楷体_GB2312"/>
      <w:kern w:val="2"/>
      <w:sz w:val="21"/>
    </w:rPr>
  </w:style>
  <w:style w:type="character" w:customStyle="1" w:styleId="156">
    <w:name w:val="正文首行缩进 字符1"/>
    <w:link w:val="20"/>
    <w:autoRedefine/>
    <w:qFormat/>
    <w:uiPriority w:val="99"/>
    <w:rPr>
      <w:kern w:val="2"/>
      <w:sz w:val="21"/>
    </w:rPr>
  </w:style>
  <w:style w:type="paragraph" w:customStyle="1" w:styleId="157">
    <w:name w:val="纯文本2"/>
    <w:basedOn w:val="1"/>
    <w:autoRedefine/>
    <w:qFormat/>
    <w:uiPriority w:val="0"/>
    <w:pPr>
      <w:adjustRightInd w:val="0"/>
    </w:pPr>
    <w:rPr>
      <w:rFonts w:ascii="宋体" w:hAnsi="Courier New" w:eastAsia="楷体_GB2312"/>
      <w:sz w:val="28"/>
    </w:rPr>
  </w:style>
  <w:style w:type="character" w:customStyle="1" w:styleId="158">
    <w:name w:val="NormalCharacter"/>
    <w:autoRedefine/>
    <w:semiHidden/>
    <w:qFormat/>
    <w:uiPriority w:val="0"/>
    <w:rPr>
      <w:kern w:val="2"/>
      <w:sz w:val="21"/>
      <w:lang w:val="en-US" w:eastAsia="zh-CN" w:bidi="ar-SA"/>
    </w:rPr>
  </w:style>
  <w:style w:type="character" w:customStyle="1" w:styleId="159">
    <w:name w:val="Plain Text Char Char"/>
    <w:autoRedefine/>
    <w:qFormat/>
    <w:uiPriority w:val="0"/>
    <w:rPr>
      <w:rFonts w:ascii="宋体" w:hAnsi="Courier New" w:eastAsia="楷体_GB2312"/>
      <w:kern w:val="2"/>
      <w:sz w:val="28"/>
    </w:rPr>
  </w:style>
  <w:style w:type="character" w:customStyle="1" w:styleId="160">
    <w:name w:val="text1 Char"/>
    <w:link w:val="161"/>
    <w:autoRedefine/>
    <w:qFormat/>
    <w:uiPriority w:val="0"/>
    <w:rPr>
      <w:kern w:val="0"/>
      <w:sz w:val="24"/>
      <w:lang w:val="zh-CN"/>
    </w:rPr>
  </w:style>
  <w:style w:type="paragraph" w:customStyle="1" w:styleId="161">
    <w:name w:val="text1"/>
    <w:basedOn w:val="1"/>
    <w:link w:val="160"/>
    <w:autoRedefine/>
    <w:qFormat/>
    <w:uiPriority w:val="0"/>
    <w:pPr>
      <w:spacing w:line="360" w:lineRule="auto"/>
      <w:ind w:firstLine="200" w:firstLineChars="200"/>
    </w:pPr>
    <w:rPr>
      <w:kern w:val="0"/>
      <w:sz w:val="24"/>
      <w:lang w:val="zh-CN"/>
    </w:rPr>
  </w:style>
  <w:style w:type="paragraph" w:customStyle="1" w:styleId="162">
    <w:name w:val="Body text|1"/>
    <w:basedOn w:val="1"/>
    <w:autoRedefine/>
    <w:qFormat/>
    <w:uiPriority w:val="0"/>
    <w:pPr>
      <w:spacing w:after="80" w:line="401" w:lineRule="auto"/>
      <w:ind w:firstLine="240"/>
    </w:pPr>
    <w:rPr>
      <w:rFonts w:ascii="宋体" w:hAnsi="宋体" w:cs="宋体"/>
      <w:sz w:val="22"/>
      <w:szCs w:val="22"/>
      <w:lang w:val="zh-TW" w:eastAsia="zh-TW" w:bidi="zh-TW"/>
    </w:rPr>
  </w:style>
  <w:style w:type="paragraph" w:customStyle="1" w:styleId="163">
    <w:name w:val="Other|1"/>
    <w:basedOn w:val="1"/>
    <w:autoRedefine/>
    <w:qFormat/>
    <w:uiPriority w:val="0"/>
    <w:pPr>
      <w:spacing w:after="80" w:line="401" w:lineRule="auto"/>
      <w:ind w:firstLine="240"/>
    </w:pPr>
    <w:rPr>
      <w:rFonts w:ascii="宋体" w:hAnsi="宋体" w:cs="宋体"/>
      <w:sz w:val="22"/>
      <w:szCs w:val="22"/>
      <w:lang w:val="zh-TW" w:eastAsia="zh-TW" w:bidi="zh-TW"/>
    </w:rPr>
  </w:style>
  <w:style w:type="paragraph" w:customStyle="1" w:styleId="164">
    <w:name w:val="Header or footer|2"/>
    <w:basedOn w:val="1"/>
    <w:autoRedefine/>
    <w:qFormat/>
    <w:uiPriority w:val="0"/>
    <w:rPr>
      <w:sz w:val="20"/>
      <w:lang w:val="zh-TW" w:eastAsia="zh-TW" w:bidi="zh-TW"/>
    </w:rPr>
  </w:style>
  <w:style w:type="paragraph" w:customStyle="1" w:styleId="165">
    <w:name w:val="Heading #3|1"/>
    <w:basedOn w:val="1"/>
    <w:autoRedefine/>
    <w:qFormat/>
    <w:uiPriority w:val="0"/>
    <w:pPr>
      <w:spacing w:line="432" w:lineRule="exact"/>
      <w:ind w:left="2180" w:firstLine="20"/>
      <w:outlineLvl w:val="2"/>
    </w:pPr>
    <w:rPr>
      <w:rFonts w:ascii="宋体" w:hAnsi="宋体" w:cs="宋体"/>
      <w:sz w:val="26"/>
      <w:szCs w:val="26"/>
      <w:lang w:val="zh-TW" w:eastAsia="zh-TW" w:bidi="zh-TW"/>
    </w:rPr>
  </w:style>
  <w:style w:type="paragraph" w:customStyle="1" w:styleId="166">
    <w:name w:val="Header or footer|1"/>
    <w:basedOn w:val="1"/>
    <w:autoRedefine/>
    <w:qFormat/>
    <w:uiPriority w:val="0"/>
    <w:pPr>
      <w:jc w:val="right"/>
    </w:pPr>
    <w:rPr>
      <w:rFonts w:ascii="宋体" w:hAnsi="宋体" w:cs="宋体"/>
      <w:sz w:val="26"/>
      <w:szCs w:val="26"/>
      <w:lang w:val="zh-TW" w:eastAsia="zh-TW" w:bidi="zh-TW"/>
    </w:rPr>
  </w:style>
  <w:style w:type="character" w:customStyle="1" w:styleId="167">
    <w:name w:val="hover"/>
    <w:basedOn w:val="56"/>
    <w:autoRedefine/>
    <w:qFormat/>
    <w:uiPriority w:val="0"/>
    <w:rPr>
      <w:color w:val="2590EB"/>
    </w:rPr>
  </w:style>
  <w:style w:type="character" w:customStyle="1" w:styleId="168">
    <w:name w:val="hover1"/>
    <w:basedOn w:val="56"/>
    <w:autoRedefine/>
    <w:qFormat/>
    <w:uiPriority w:val="0"/>
    <w:rPr>
      <w:color w:val="2590EB"/>
    </w:rPr>
  </w:style>
  <w:style w:type="character" w:customStyle="1" w:styleId="169">
    <w:name w:val="hover2"/>
    <w:basedOn w:val="56"/>
    <w:autoRedefine/>
    <w:qFormat/>
    <w:uiPriority w:val="0"/>
  </w:style>
  <w:style w:type="character" w:customStyle="1" w:styleId="170">
    <w:name w:val="hover3"/>
    <w:basedOn w:val="56"/>
    <w:autoRedefine/>
    <w:qFormat/>
    <w:uiPriority w:val="0"/>
    <w:rPr>
      <w:color w:val="2590EB"/>
      <w:shd w:val="clear" w:color="auto" w:fill="E9F4FD"/>
    </w:rPr>
  </w:style>
  <w:style w:type="paragraph" w:customStyle="1" w:styleId="171">
    <w:name w:val="标题 3.1"/>
    <w:basedOn w:val="4"/>
    <w:autoRedefine/>
    <w:qFormat/>
    <w:uiPriority w:val="0"/>
    <w:pPr>
      <w:keepLines/>
      <w:tabs>
        <w:tab w:val="left" w:pos="1440"/>
        <w:tab w:val="left" w:pos="1620"/>
      </w:tabs>
      <w:spacing w:before="260" w:after="260" w:line="600" w:lineRule="exact"/>
      <w:jc w:val="both"/>
    </w:pPr>
    <w:rPr>
      <w:b/>
      <w:color w:val="FF0000"/>
      <w:sz w:val="32"/>
    </w:rPr>
  </w:style>
  <w:style w:type="paragraph" w:customStyle="1" w:styleId="172">
    <w:name w:val="Char Char1 Char Char Char Char Char Char Char2"/>
    <w:basedOn w:val="1"/>
    <w:autoRedefine/>
    <w:qFormat/>
    <w:uiPriority w:val="0"/>
    <w:rPr>
      <w:rFonts w:ascii="Tahoma" w:hAnsi="Tahoma"/>
      <w:sz w:val="24"/>
    </w:rPr>
  </w:style>
  <w:style w:type="paragraph" w:customStyle="1" w:styleId="173">
    <w:name w:val="普通(网站)1"/>
    <w:basedOn w:val="1"/>
    <w:autoRedefine/>
    <w:qFormat/>
    <w:uiPriority w:val="0"/>
    <w:pPr>
      <w:widowControl/>
      <w:spacing w:before="100" w:beforeAutospacing="1" w:after="100" w:afterAutospacing="1"/>
      <w:jc w:val="left"/>
    </w:pPr>
    <w:rPr>
      <w:rFonts w:ascii="宋体" w:hAnsi="宋体" w:cs="宋体"/>
      <w:sz w:val="24"/>
    </w:rPr>
  </w:style>
  <w:style w:type="paragraph" w:customStyle="1" w:styleId="174">
    <w:name w:val="普通正文"/>
    <w:basedOn w:val="1"/>
    <w:autoRedefine/>
    <w:qFormat/>
    <w:uiPriority w:val="0"/>
    <w:pPr>
      <w:spacing w:before="120" w:after="120" w:line="360" w:lineRule="auto"/>
      <w:ind w:firstLine="480"/>
      <w:jc w:val="left"/>
    </w:pPr>
    <w:rPr>
      <w:rFonts w:ascii="Arial" w:hAnsi="Arial"/>
      <w:sz w:val="24"/>
      <w:szCs w:val="24"/>
    </w:rPr>
  </w:style>
  <w:style w:type="character" w:customStyle="1" w:styleId="175">
    <w:name w:val="默认段落字体1"/>
    <w:autoRedefine/>
    <w:unhideWhenUsed/>
    <w:qFormat/>
    <w:uiPriority w:val="1"/>
    <w:rPr>
      <w:rFonts w:ascii="Calibri" w:hAnsi="Calibri" w:eastAsia="宋体" w:cs="Times New Roman"/>
      <w:kern w:val="2"/>
      <w:sz w:val="21"/>
      <w:lang w:val="en-US" w:eastAsia="zh-CN" w:bidi="ar-SA"/>
    </w:rPr>
  </w:style>
  <w:style w:type="paragraph" w:customStyle="1" w:styleId="176">
    <w:name w:val="Normal_0_2"/>
    <w:autoRedefine/>
    <w:qFormat/>
    <w:uiPriority w:val="0"/>
    <w:rPr>
      <w:rFonts w:ascii="Times New Roman" w:hAnsi="Times New Roman" w:eastAsia="Times New Roman" w:cs="Times New Roman"/>
      <w:sz w:val="24"/>
      <w:szCs w:val="24"/>
      <w:lang w:val="en-US" w:eastAsia="zh-CN" w:bidi="ar-SA"/>
    </w:rPr>
  </w:style>
  <w:style w:type="paragraph" w:customStyle="1" w:styleId="177">
    <w:name w:val="正文文本1"/>
    <w:basedOn w:val="1"/>
    <w:next w:val="1"/>
    <w:qFormat/>
    <w:uiPriority w:val="0"/>
    <w:rPr>
      <w:rFonts w:ascii="楷体_GB2312" w:hAnsi="Arial" w:eastAsia="楷体_GB2312"/>
      <w:sz w:val="28"/>
    </w:rPr>
  </w:style>
  <w:style w:type="paragraph" w:customStyle="1" w:styleId="178">
    <w:name w:val="正文文本缩进1"/>
    <w:basedOn w:val="1"/>
    <w:next w:val="179"/>
    <w:qFormat/>
    <w:uiPriority w:val="0"/>
    <w:pPr>
      <w:spacing w:line="312" w:lineRule="atLeast"/>
      <w:ind w:firstLine="574"/>
    </w:pPr>
    <w:rPr>
      <w:rFonts w:ascii="宋体"/>
      <w:sz w:val="28"/>
    </w:rPr>
  </w:style>
  <w:style w:type="paragraph" w:customStyle="1" w:styleId="179">
    <w:name w:val="寄信人地址1"/>
    <w:basedOn w:val="1"/>
    <w:qFormat/>
    <w:uiPriority w:val="0"/>
    <w:rPr>
      <w:rFonts w:ascii="Arial" w:hAnsi="Arial"/>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AB1EC96-2E82-4092-80AD-1712BC2BA81C}">
  <ds:schemaRefs/>
</ds:datastoreItem>
</file>

<file path=docProps/app.xml><?xml version="1.0" encoding="utf-8"?>
<Properties xmlns="http://schemas.openxmlformats.org/officeDocument/2006/extended-properties" xmlns:vt="http://schemas.openxmlformats.org/officeDocument/2006/docPropsVTypes">
  <Template>Normal.dotm</Template>
  <Company>SZF</Company>
  <Pages>58</Pages>
  <Words>11416</Words>
  <Characters>12517</Characters>
  <Lines>221</Lines>
  <Paragraphs>62</Paragraphs>
  <TotalTime>13</TotalTime>
  <ScaleCrop>false</ScaleCrop>
  <LinksUpToDate>false</LinksUpToDate>
  <CharactersWithSpaces>12891</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2022-09-15T08:01:00Z</dcterms:created>
  <dc:creator>user</dc:creator>
  <cp:lastModifiedBy>酒酿小圆子</cp:lastModifiedBy>
  <cp:lastPrinted>2025-12-04T05:37:00Z</cp:lastPrinted>
  <dcterms:modified xsi:type="dcterms:W3CDTF">2025-12-16T02:14:44Z</dcterms:modified>
  <dc:title>招  标  文  件</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03629E9C40FB432A8469195E4BE2BD64_13</vt:lpwstr>
  </property>
  <property fmtid="{D5CDD505-2E9C-101B-9397-08002B2CF9AE}" pid="4" name="KSOTemplateDocerSaveRecord">
    <vt:lpwstr>eyJoZGlkIjoiNzgwMzk5YWNlOTlhZGNmYTkwYzkzMGM2MDFhMzUwMDQiLCJ1c2VySWQiOiI0MDM5OTE5NjUifQ==</vt:lpwstr>
  </property>
</Properties>
</file>